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005" w:rsidRPr="00AD7C0C" w:rsidRDefault="00114005" w:rsidP="00A874A1">
      <w:pPr>
        <w:ind w:right="-6"/>
        <w:rPr>
          <w:b/>
          <w:bCs/>
          <w:sz w:val="36"/>
          <w:szCs w:val="36"/>
          <w:lang w:val="en-GB"/>
        </w:rPr>
      </w:pPr>
      <w:r w:rsidRPr="00AD7C0C">
        <w:rPr>
          <w:b/>
          <w:bCs/>
          <w:sz w:val="36"/>
          <w:szCs w:val="36"/>
          <w:lang w:val="en-GB"/>
        </w:rPr>
        <w:t>Valuing Human Capital</w:t>
      </w:r>
    </w:p>
    <w:p w:rsidR="00114005" w:rsidRPr="00AD7C0C" w:rsidRDefault="00114005" w:rsidP="00A874A1">
      <w:pPr>
        <w:ind w:right="-6"/>
        <w:rPr>
          <w:sz w:val="28"/>
          <w:szCs w:val="18"/>
          <w:lang w:val="en-GB"/>
        </w:rPr>
      </w:pPr>
      <w:r w:rsidRPr="00AD7C0C">
        <w:rPr>
          <w:sz w:val="28"/>
          <w:szCs w:val="18"/>
          <w:lang w:val="en-GB"/>
        </w:rPr>
        <w:t>The case of refugees and migrants in Europe</w:t>
      </w:r>
    </w:p>
    <w:p w:rsidR="00114005" w:rsidRPr="0078128B" w:rsidRDefault="00114005" w:rsidP="00A874A1">
      <w:pPr>
        <w:ind w:right="-6"/>
        <w:rPr>
          <w:lang w:val="en-GB"/>
        </w:rPr>
      </w:pPr>
    </w:p>
    <w:p w:rsidR="00114005" w:rsidRPr="0078128B" w:rsidRDefault="00114005" w:rsidP="00A874A1">
      <w:pPr>
        <w:ind w:right="-6"/>
        <w:rPr>
          <w:b/>
          <w:i/>
          <w:sz w:val="22"/>
          <w:szCs w:val="22"/>
          <w:lang w:val="en-GB"/>
        </w:rPr>
      </w:pPr>
      <w:r w:rsidRPr="0078128B">
        <w:rPr>
          <w:sz w:val="22"/>
          <w:szCs w:val="22"/>
          <w:lang w:val="en-GB"/>
        </w:rPr>
        <w:t>Rosa Duvekot &amp; Ruud Duvekot</w:t>
      </w:r>
    </w:p>
    <w:p w:rsidR="00114005" w:rsidRPr="0078128B" w:rsidRDefault="00114005" w:rsidP="00A874A1">
      <w:pPr>
        <w:ind w:right="-6"/>
        <w:rPr>
          <w:sz w:val="24"/>
          <w:lang w:val="en-GB"/>
        </w:rPr>
      </w:pPr>
    </w:p>
    <w:p w:rsidR="00114005" w:rsidRDefault="00114005" w:rsidP="00A874A1">
      <w:pPr>
        <w:ind w:right="-6"/>
        <w:rPr>
          <w:color w:val="000000" w:themeColor="text1"/>
          <w:sz w:val="24"/>
          <w:lang w:val="en-GB"/>
        </w:rPr>
      </w:pPr>
    </w:p>
    <w:p w:rsidR="005A23E1" w:rsidRPr="0078128B" w:rsidRDefault="005A23E1" w:rsidP="00A874A1">
      <w:pPr>
        <w:ind w:right="-6"/>
        <w:rPr>
          <w:color w:val="000000" w:themeColor="text1"/>
          <w:sz w:val="24"/>
          <w:lang w:val="en-GB"/>
        </w:rPr>
      </w:pPr>
    </w:p>
    <w:p w:rsidR="00084005" w:rsidRDefault="00084005" w:rsidP="00A874A1">
      <w:pPr>
        <w:spacing w:after="120"/>
        <w:ind w:right="-6"/>
        <w:rPr>
          <w:b/>
          <w:bCs/>
          <w:sz w:val="22"/>
          <w:szCs w:val="22"/>
          <w:lang w:val="en-GB"/>
        </w:rPr>
      </w:pPr>
      <w:r>
        <w:rPr>
          <w:b/>
          <w:bCs/>
          <w:sz w:val="22"/>
          <w:szCs w:val="22"/>
          <w:lang w:val="en-GB"/>
        </w:rPr>
        <w:t>Summary</w:t>
      </w:r>
    </w:p>
    <w:p w:rsidR="00084005" w:rsidRPr="00370786" w:rsidRDefault="00084005" w:rsidP="00084005">
      <w:pPr>
        <w:spacing w:after="120"/>
        <w:ind w:right="-6"/>
        <w:jc w:val="both"/>
        <w:rPr>
          <w:rFonts w:cstheme="minorHAnsi"/>
          <w:b/>
          <w:bCs/>
          <w:sz w:val="22"/>
          <w:szCs w:val="22"/>
          <w:lang w:val="en-GB"/>
        </w:rPr>
      </w:pPr>
      <w:r w:rsidRPr="00370786">
        <w:rPr>
          <w:rFonts w:cstheme="minorHAnsi"/>
          <w:lang w:val="en-GB"/>
        </w:rPr>
        <w:t xml:space="preserve">The process of Validation of Prior Learning (VPL) is at the heart of making learning in all contexts and for any purpose worthwhile. </w:t>
      </w:r>
      <w:r w:rsidR="00370786" w:rsidRPr="00370786">
        <w:rPr>
          <w:rFonts w:cstheme="minorHAnsi"/>
          <w:lang w:val="en-GB"/>
        </w:rPr>
        <w:t>VPL is a system that strengthens the role of the individual in shaping her lifelong learning. It can demonstrate the outcomes of learning in terms of profit (status, money), efficiency (time, customisation), and enjoyment. The learning-programme-independent nature of the assessment enhances the effects that VPL can create for personal objectives in terms of qualifications, career development and personal meaning.</w:t>
      </w:r>
      <w:r w:rsidR="00370786">
        <w:rPr>
          <w:rFonts w:cstheme="minorHAnsi"/>
          <w:lang w:val="en-GB"/>
        </w:rPr>
        <w:t xml:space="preserve"> </w:t>
      </w:r>
      <w:r w:rsidRPr="00370786">
        <w:rPr>
          <w:rFonts w:cstheme="minorHAnsi"/>
          <w:lang w:val="en-GB"/>
        </w:rPr>
        <w:t xml:space="preserve">This </w:t>
      </w:r>
      <w:r w:rsidRPr="00370786">
        <w:rPr>
          <w:rFonts w:cstheme="minorHAnsi"/>
          <w:i/>
          <w:lang w:val="en-GB"/>
        </w:rPr>
        <w:t>paper</w:t>
      </w:r>
      <w:r w:rsidRPr="00370786">
        <w:rPr>
          <w:rFonts w:cstheme="minorHAnsi"/>
          <w:lang w:val="en-GB"/>
        </w:rPr>
        <w:t xml:space="preserve"> looks at the impact of </w:t>
      </w:r>
      <w:r w:rsidR="00A45044">
        <w:rPr>
          <w:rFonts w:cstheme="minorHAnsi"/>
          <w:lang w:val="en-GB"/>
        </w:rPr>
        <w:t xml:space="preserve">such </w:t>
      </w:r>
      <w:r w:rsidRPr="00370786">
        <w:rPr>
          <w:rFonts w:cstheme="minorHAnsi"/>
          <w:lang w:val="en-GB"/>
        </w:rPr>
        <w:t>VPL when implemented by higher education institutes (HEIs) for the sake of inclusion of refugees and migrants in their new country.</w:t>
      </w:r>
    </w:p>
    <w:p w:rsidR="00084005" w:rsidRDefault="00084005" w:rsidP="00A874A1">
      <w:pPr>
        <w:spacing w:after="120"/>
        <w:ind w:right="-6"/>
        <w:rPr>
          <w:b/>
          <w:bCs/>
          <w:sz w:val="22"/>
          <w:szCs w:val="22"/>
          <w:lang w:val="en-GB"/>
        </w:rPr>
      </w:pPr>
    </w:p>
    <w:p w:rsidR="00114005" w:rsidRPr="0078128B" w:rsidRDefault="00C2103B" w:rsidP="00A874A1">
      <w:pPr>
        <w:spacing w:after="120"/>
        <w:ind w:right="-6"/>
        <w:rPr>
          <w:b/>
          <w:bCs/>
          <w:sz w:val="22"/>
          <w:szCs w:val="22"/>
          <w:lang w:val="en-GB"/>
        </w:rPr>
      </w:pPr>
      <w:r w:rsidRPr="0078128B">
        <w:rPr>
          <w:b/>
          <w:bCs/>
          <w:sz w:val="22"/>
          <w:szCs w:val="22"/>
          <w:lang w:val="en-GB"/>
        </w:rPr>
        <w:t>Introduction</w:t>
      </w:r>
    </w:p>
    <w:p w:rsidR="00114005" w:rsidRPr="00A45044" w:rsidRDefault="00114005" w:rsidP="00A874A1">
      <w:pPr>
        <w:spacing w:after="120"/>
        <w:ind w:right="-6"/>
        <w:jc w:val="both"/>
        <w:rPr>
          <w:rFonts w:cstheme="minorHAnsi"/>
          <w:lang w:val="en-GB"/>
        </w:rPr>
      </w:pPr>
      <w:r w:rsidRPr="0078128B">
        <w:rPr>
          <w:rFonts w:cstheme="minorHAnsi"/>
          <w:color w:val="000000" w:themeColor="text1"/>
          <w:lang w:val="en-GB"/>
        </w:rPr>
        <w:t>Linking learning to social participation, inclusion and career-opportunities, and the changes in prevailing attitudes on learning are important themes that allow us to understand the current transition towards a (lifelong) learning society.</w:t>
      </w:r>
      <w:r w:rsidR="00370786">
        <w:rPr>
          <w:rFonts w:cstheme="minorHAnsi"/>
          <w:color w:val="000000" w:themeColor="text1"/>
          <w:lang w:val="en-GB"/>
        </w:rPr>
        <w:t xml:space="preserve"> In t</w:t>
      </w:r>
      <w:r w:rsidRPr="0078128B">
        <w:rPr>
          <w:rFonts w:cstheme="minorHAnsi"/>
          <w:color w:val="000000" w:themeColor="text1"/>
          <w:lang w:val="en-GB"/>
        </w:rPr>
        <w:t xml:space="preserve">he </w:t>
      </w:r>
      <w:r w:rsidRPr="0078128B">
        <w:rPr>
          <w:rFonts w:cstheme="minorHAnsi"/>
          <w:bCs/>
          <w:lang w:val="en-GB"/>
        </w:rPr>
        <w:t xml:space="preserve">‘learning society’ </w:t>
      </w:r>
      <w:r w:rsidR="00370786">
        <w:rPr>
          <w:rFonts w:cstheme="minorHAnsi"/>
          <w:lang w:val="en-GB"/>
        </w:rPr>
        <w:t>everyone is</w:t>
      </w:r>
      <w:r w:rsidRPr="0078128B">
        <w:rPr>
          <w:rFonts w:cstheme="minorHAnsi"/>
          <w:lang w:val="en-GB"/>
        </w:rPr>
        <w:t xml:space="preserve"> encouraged to continue to learn throughout </w:t>
      </w:r>
      <w:r w:rsidR="00EA12D3" w:rsidRPr="0078128B">
        <w:rPr>
          <w:rFonts w:cstheme="minorHAnsi"/>
          <w:lang w:val="en-GB"/>
        </w:rPr>
        <w:t>her</w:t>
      </w:r>
      <w:r w:rsidR="00EA12D3" w:rsidRPr="0078128B">
        <w:rPr>
          <w:rStyle w:val="Voetnootmarkering"/>
          <w:rFonts w:cstheme="minorHAnsi"/>
          <w:lang w:val="en-GB"/>
        </w:rPr>
        <w:footnoteReference w:id="1"/>
      </w:r>
      <w:r w:rsidR="00EA12D3" w:rsidRPr="0078128B">
        <w:rPr>
          <w:rFonts w:cstheme="minorHAnsi"/>
          <w:lang w:val="en-GB"/>
        </w:rPr>
        <w:t xml:space="preserve"> </w:t>
      </w:r>
      <w:r w:rsidRPr="0078128B">
        <w:rPr>
          <w:rFonts w:cstheme="minorHAnsi"/>
          <w:lang w:val="en-GB"/>
        </w:rPr>
        <w:t>li</w:t>
      </w:r>
      <w:r w:rsidR="00370786">
        <w:rPr>
          <w:rFonts w:cstheme="minorHAnsi"/>
          <w:lang w:val="en-GB"/>
        </w:rPr>
        <w:t xml:space="preserve">fe, whereas learning processes are </w:t>
      </w:r>
      <w:r w:rsidR="00EA12D3">
        <w:rPr>
          <w:rFonts w:cstheme="minorHAnsi"/>
          <w:lang w:val="en-GB"/>
        </w:rPr>
        <w:t>supposed to be</w:t>
      </w:r>
      <w:r w:rsidR="00370786">
        <w:rPr>
          <w:rFonts w:cstheme="minorHAnsi"/>
          <w:lang w:val="en-GB"/>
        </w:rPr>
        <w:t xml:space="preserve"> inclusive </w:t>
      </w:r>
      <w:r w:rsidR="00EA12D3">
        <w:rPr>
          <w:rFonts w:cstheme="minorHAnsi"/>
          <w:lang w:val="en-GB"/>
        </w:rPr>
        <w:t>for all</w:t>
      </w:r>
      <w:r w:rsidR="00370786">
        <w:rPr>
          <w:rFonts w:cstheme="minorHAnsi"/>
          <w:lang w:val="en-GB"/>
        </w:rPr>
        <w:t xml:space="preserve"> learners.</w:t>
      </w:r>
      <w:r w:rsidR="00EA12D3">
        <w:rPr>
          <w:rFonts w:cstheme="minorHAnsi"/>
          <w:lang w:val="en-GB"/>
        </w:rPr>
        <w:t xml:space="preserve"> </w:t>
      </w:r>
      <w:r w:rsidRPr="0078128B">
        <w:rPr>
          <w:rFonts w:cstheme="minorHAnsi"/>
          <w:color w:val="000000" w:themeColor="text1"/>
          <w:lang w:val="en-GB"/>
        </w:rPr>
        <w:t xml:space="preserve">In such a society the role of human capital is all the more important since steering development and sustainable utilisation of human capital is not just a matter of investment in continuous learning but becomes more and more a matter of self-steered ownership of the individual her- and himself. This phenomenon is all the more apparent when we analyse this transition on the personal level of </w:t>
      </w:r>
      <w:r w:rsidRPr="00A45044">
        <w:rPr>
          <w:rFonts w:cstheme="minorHAnsi"/>
          <w:color w:val="000000" w:themeColor="text1"/>
          <w:lang w:val="en-GB"/>
        </w:rPr>
        <w:t xml:space="preserve">higher educated refugees and migrants, integrating their human capital in a ‘new’ country. </w:t>
      </w:r>
    </w:p>
    <w:p w:rsidR="00606691" w:rsidRDefault="00114005" w:rsidP="00A45044">
      <w:pPr>
        <w:pStyle w:val="BTBullet2"/>
        <w:numPr>
          <w:ilvl w:val="0"/>
          <w:numId w:val="0"/>
        </w:numPr>
        <w:spacing w:after="120" w:line="240" w:lineRule="auto"/>
        <w:ind w:right="-6"/>
        <w:jc w:val="both"/>
        <w:rPr>
          <w:rFonts w:asciiTheme="minorHAnsi" w:hAnsiTheme="minorHAnsi" w:cstheme="minorHAnsi"/>
          <w:sz w:val="20"/>
          <w:szCs w:val="20"/>
        </w:rPr>
      </w:pPr>
      <w:r w:rsidRPr="00A45044">
        <w:rPr>
          <w:rFonts w:asciiTheme="minorHAnsi" w:hAnsiTheme="minorHAnsi" w:cstheme="minorHAnsi"/>
          <w:sz w:val="20"/>
          <w:szCs w:val="20"/>
        </w:rPr>
        <w:t>Validation of Prior Learning (VPL) is at the heart of making the transition beneficial to all stakeholders.</w:t>
      </w:r>
      <w:r w:rsidR="00A45044">
        <w:rPr>
          <w:rFonts w:asciiTheme="minorHAnsi" w:hAnsiTheme="minorHAnsi" w:cstheme="minorHAnsi"/>
          <w:sz w:val="20"/>
          <w:szCs w:val="20"/>
        </w:rPr>
        <w:t xml:space="preserve"> </w:t>
      </w:r>
      <w:r w:rsidR="00606691">
        <w:rPr>
          <w:rFonts w:asciiTheme="minorHAnsi" w:hAnsiTheme="minorHAnsi" w:cstheme="minorHAnsi"/>
          <w:sz w:val="20"/>
          <w:szCs w:val="20"/>
        </w:rPr>
        <w:t>VPL</w:t>
      </w:r>
      <w:r w:rsidR="00A45044">
        <w:rPr>
          <w:rFonts w:asciiTheme="minorHAnsi" w:hAnsiTheme="minorHAnsi" w:cstheme="minorHAnsi"/>
          <w:sz w:val="20"/>
          <w:szCs w:val="20"/>
        </w:rPr>
        <w:t xml:space="preserve"> focuses</w:t>
      </w:r>
      <w:r w:rsidR="00606691">
        <w:rPr>
          <w:rFonts w:asciiTheme="minorHAnsi" w:hAnsiTheme="minorHAnsi" w:cstheme="minorHAnsi"/>
          <w:sz w:val="20"/>
          <w:szCs w:val="20"/>
        </w:rPr>
        <w:t xml:space="preserve"> </w:t>
      </w:r>
      <w:r w:rsidR="00A45044" w:rsidRPr="00A45044">
        <w:rPr>
          <w:rFonts w:asciiTheme="minorHAnsi" w:hAnsiTheme="minorHAnsi" w:cstheme="minorHAnsi"/>
          <w:sz w:val="20"/>
          <w:szCs w:val="20"/>
        </w:rPr>
        <w:t xml:space="preserve">on recognising, valuing, validating and </w:t>
      </w:r>
      <w:r w:rsidR="00A45044" w:rsidRPr="00A45044">
        <w:rPr>
          <w:rFonts w:asciiTheme="minorHAnsi" w:hAnsiTheme="minorHAnsi" w:cstheme="minorHAnsi"/>
          <w:i/>
          <w:sz w:val="20"/>
          <w:szCs w:val="20"/>
        </w:rPr>
        <w:t xml:space="preserve">further </w:t>
      </w:r>
      <w:r w:rsidR="00A45044" w:rsidRPr="00A45044">
        <w:rPr>
          <w:rFonts w:asciiTheme="minorHAnsi" w:hAnsiTheme="minorHAnsi" w:cstheme="minorHAnsi"/>
          <w:sz w:val="20"/>
          <w:szCs w:val="20"/>
        </w:rPr>
        <w:t>developing the competences that someone previously learned</w:t>
      </w:r>
      <w:r w:rsidR="00A45044">
        <w:rPr>
          <w:rFonts w:asciiTheme="minorHAnsi" w:hAnsiTheme="minorHAnsi" w:cstheme="minorHAnsi"/>
          <w:sz w:val="20"/>
          <w:szCs w:val="20"/>
        </w:rPr>
        <w:t xml:space="preserve">. </w:t>
      </w:r>
      <w:r w:rsidR="00606691">
        <w:rPr>
          <w:rFonts w:asciiTheme="minorHAnsi" w:hAnsiTheme="minorHAnsi" w:cstheme="minorHAnsi"/>
          <w:sz w:val="20"/>
          <w:szCs w:val="20"/>
        </w:rPr>
        <w:t>This</w:t>
      </w:r>
      <w:r w:rsidRPr="00A45044">
        <w:rPr>
          <w:rFonts w:asciiTheme="minorHAnsi" w:hAnsiTheme="minorHAnsi" w:cstheme="minorHAnsi"/>
          <w:sz w:val="20"/>
          <w:szCs w:val="20"/>
        </w:rPr>
        <w:t xml:space="preserve"> </w:t>
      </w:r>
      <w:r w:rsidR="00606691">
        <w:rPr>
          <w:rFonts w:asciiTheme="minorHAnsi" w:hAnsiTheme="minorHAnsi" w:cstheme="minorHAnsi"/>
          <w:sz w:val="20"/>
          <w:szCs w:val="20"/>
        </w:rPr>
        <w:t>entails</w:t>
      </w:r>
      <w:r w:rsidRPr="00A45044">
        <w:rPr>
          <w:rFonts w:asciiTheme="minorHAnsi" w:hAnsiTheme="minorHAnsi" w:cstheme="minorHAnsi"/>
          <w:sz w:val="20"/>
          <w:szCs w:val="20"/>
        </w:rPr>
        <w:t xml:space="preserve"> instrumentation for recognizing and valuing what people have learned so far and linking </w:t>
      </w:r>
      <w:r w:rsidR="00A45044" w:rsidRPr="00A45044">
        <w:rPr>
          <w:rFonts w:asciiTheme="minorHAnsi" w:hAnsiTheme="minorHAnsi" w:cstheme="minorHAnsi"/>
          <w:sz w:val="20"/>
          <w:szCs w:val="20"/>
        </w:rPr>
        <w:t xml:space="preserve">this value </w:t>
      </w:r>
      <w:r w:rsidRPr="00A45044">
        <w:rPr>
          <w:rFonts w:asciiTheme="minorHAnsi" w:hAnsiTheme="minorHAnsi" w:cstheme="minorHAnsi"/>
          <w:sz w:val="20"/>
          <w:szCs w:val="20"/>
        </w:rPr>
        <w:t>to further development steps.</w:t>
      </w:r>
    </w:p>
    <w:p w:rsidR="00114005" w:rsidRPr="00A45044" w:rsidRDefault="00114005" w:rsidP="00A45044">
      <w:pPr>
        <w:pStyle w:val="BTBullet2"/>
        <w:numPr>
          <w:ilvl w:val="0"/>
          <w:numId w:val="0"/>
        </w:numPr>
        <w:spacing w:after="120" w:line="240" w:lineRule="auto"/>
        <w:ind w:right="-6"/>
        <w:jc w:val="both"/>
        <w:rPr>
          <w:rFonts w:asciiTheme="minorHAnsi" w:hAnsiTheme="minorHAnsi" w:cstheme="minorHAnsi"/>
          <w:sz w:val="16"/>
          <w:szCs w:val="16"/>
        </w:rPr>
      </w:pPr>
      <w:r w:rsidRPr="00A45044">
        <w:rPr>
          <w:rFonts w:asciiTheme="minorHAnsi" w:hAnsiTheme="minorHAnsi" w:cstheme="minorHAnsi"/>
          <w:sz w:val="20"/>
          <w:szCs w:val="20"/>
        </w:rPr>
        <w:t xml:space="preserve">This </w:t>
      </w:r>
      <w:r w:rsidRPr="00A45044">
        <w:rPr>
          <w:rFonts w:asciiTheme="minorHAnsi" w:hAnsiTheme="minorHAnsi" w:cstheme="minorHAnsi"/>
          <w:i/>
          <w:sz w:val="20"/>
          <w:szCs w:val="20"/>
        </w:rPr>
        <w:t>paper</w:t>
      </w:r>
      <w:r w:rsidRPr="00A45044">
        <w:rPr>
          <w:rFonts w:asciiTheme="minorHAnsi" w:hAnsiTheme="minorHAnsi" w:cstheme="minorHAnsi"/>
          <w:sz w:val="20"/>
          <w:szCs w:val="20"/>
        </w:rPr>
        <w:t xml:space="preserve"> looks at the </w:t>
      </w:r>
      <w:r w:rsidR="005A23E1" w:rsidRPr="00A45044">
        <w:rPr>
          <w:rFonts w:asciiTheme="minorHAnsi" w:hAnsiTheme="minorHAnsi" w:cstheme="minorHAnsi"/>
          <w:sz w:val="20"/>
          <w:szCs w:val="20"/>
        </w:rPr>
        <w:t>impact</w:t>
      </w:r>
      <w:r w:rsidRPr="00A45044">
        <w:rPr>
          <w:rFonts w:asciiTheme="minorHAnsi" w:hAnsiTheme="minorHAnsi" w:cstheme="minorHAnsi"/>
          <w:sz w:val="20"/>
          <w:szCs w:val="21"/>
        </w:rPr>
        <w:t xml:space="preserve"> of VPL</w:t>
      </w:r>
      <w:r w:rsidR="005A23E1" w:rsidRPr="00A45044">
        <w:rPr>
          <w:rFonts w:asciiTheme="minorHAnsi" w:hAnsiTheme="minorHAnsi" w:cstheme="minorHAnsi"/>
          <w:sz w:val="20"/>
          <w:szCs w:val="21"/>
        </w:rPr>
        <w:t xml:space="preserve"> implemented by higher education institutes (HEIs) for the sake of </w:t>
      </w:r>
      <w:r w:rsidR="00EA12D3" w:rsidRPr="00A45044">
        <w:rPr>
          <w:rFonts w:asciiTheme="minorHAnsi" w:hAnsiTheme="minorHAnsi" w:cstheme="minorHAnsi"/>
          <w:sz w:val="20"/>
          <w:szCs w:val="21"/>
        </w:rPr>
        <w:t xml:space="preserve">making HE-programmes accessible, therewith strengthening the </w:t>
      </w:r>
      <w:r w:rsidR="005A23E1" w:rsidRPr="00A45044">
        <w:rPr>
          <w:rFonts w:asciiTheme="minorHAnsi" w:hAnsiTheme="minorHAnsi" w:cstheme="minorHAnsi"/>
          <w:sz w:val="20"/>
          <w:szCs w:val="21"/>
        </w:rPr>
        <w:t xml:space="preserve">inclusion </w:t>
      </w:r>
      <w:r w:rsidR="00EA12D3" w:rsidRPr="00A45044">
        <w:rPr>
          <w:rFonts w:asciiTheme="minorHAnsi" w:hAnsiTheme="minorHAnsi" w:cstheme="minorHAnsi"/>
          <w:sz w:val="20"/>
          <w:szCs w:val="21"/>
        </w:rPr>
        <w:t xml:space="preserve">of newcomers </w:t>
      </w:r>
      <w:r w:rsidR="005A23E1" w:rsidRPr="00A45044">
        <w:rPr>
          <w:rFonts w:asciiTheme="minorHAnsi" w:hAnsiTheme="minorHAnsi" w:cstheme="minorHAnsi"/>
          <w:sz w:val="20"/>
          <w:szCs w:val="21"/>
        </w:rPr>
        <w:t xml:space="preserve">in their new country. </w:t>
      </w:r>
      <w:r w:rsidR="00D07849">
        <w:rPr>
          <w:rFonts w:asciiTheme="minorHAnsi" w:hAnsiTheme="minorHAnsi" w:cstheme="minorHAnsi"/>
          <w:sz w:val="20"/>
          <w:szCs w:val="21"/>
        </w:rPr>
        <w:t xml:space="preserve">The research is based on a </w:t>
      </w:r>
      <w:r w:rsidRPr="00A45044">
        <w:rPr>
          <w:rFonts w:asciiTheme="minorHAnsi" w:hAnsiTheme="minorHAnsi" w:cstheme="minorHAnsi"/>
          <w:sz w:val="20"/>
          <w:szCs w:val="21"/>
        </w:rPr>
        <w:t xml:space="preserve">case-study analysis </w:t>
      </w:r>
      <w:r w:rsidR="00597218" w:rsidRPr="00A45044">
        <w:rPr>
          <w:rFonts w:asciiTheme="minorHAnsi" w:hAnsiTheme="minorHAnsi" w:cstheme="minorHAnsi"/>
          <w:sz w:val="20"/>
          <w:szCs w:val="21"/>
        </w:rPr>
        <w:t xml:space="preserve">of 43 in-depth case studies of ‘newcomers’ or migrants and refugees in Europe </w:t>
      </w:r>
      <w:r w:rsidRPr="00A45044">
        <w:rPr>
          <w:rFonts w:asciiTheme="minorHAnsi" w:hAnsiTheme="minorHAnsi" w:cstheme="minorHAnsi"/>
          <w:sz w:val="20"/>
          <w:szCs w:val="21"/>
        </w:rPr>
        <w:t>for the Erasmus</w:t>
      </w:r>
      <w:r w:rsidRPr="00A45044">
        <w:rPr>
          <w:rFonts w:asciiTheme="minorHAnsi" w:hAnsiTheme="minorHAnsi" w:cstheme="minorHAnsi"/>
          <w:sz w:val="20"/>
          <w:szCs w:val="21"/>
          <w:vertAlign w:val="superscript"/>
        </w:rPr>
        <w:t>+</w:t>
      </w:r>
      <w:r w:rsidRPr="00A45044">
        <w:rPr>
          <w:rFonts w:asciiTheme="minorHAnsi" w:hAnsiTheme="minorHAnsi" w:cstheme="minorHAnsi"/>
          <w:sz w:val="20"/>
          <w:szCs w:val="21"/>
        </w:rPr>
        <w:t xml:space="preserve"> project </w:t>
      </w:r>
      <w:r w:rsidRPr="00A45044">
        <w:rPr>
          <w:rFonts w:asciiTheme="minorHAnsi" w:hAnsiTheme="minorHAnsi" w:cstheme="minorHAnsi"/>
          <w:i/>
          <w:sz w:val="20"/>
          <w:szCs w:val="21"/>
        </w:rPr>
        <w:t>Validation for inclusion of new citizens in Europe (VINCE)</w:t>
      </w:r>
      <w:r w:rsidRPr="00A45044">
        <w:rPr>
          <w:rStyle w:val="Voetnootmarkering"/>
          <w:rFonts w:asciiTheme="minorHAnsi" w:hAnsiTheme="minorHAnsi" w:cstheme="minorHAnsi"/>
          <w:i/>
          <w:color w:val="000000" w:themeColor="text1"/>
          <w:sz w:val="20"/>
          <w:szCs w:val="21"/>
        </w:rPr>
        <w:footnoteReference w:id="2"/>
      </w:r>
      <w:r w:rsidR="00D07849">
        <w:rPr>
          <w:rFonts w:asciiTheme="minorHAnsi" w:hAnsiTheme="minorHAnsi" w:cstheme="minorHAnsi"/>
          <w:i/>
          <w:sz w:val="20"/>
          <w:szCs w:val="21"/>
        </w:rPr>
        <w:t>.</w:t>
      </w:r>
    </w:p>
    <w:p w:rsidR="00AD7C0C" w:rsidRDefault="00AD7C0C" w:rsidP="00A874A1">
      <w:pPr>
        <w:spacing w:after="120"/>
        <w:ind w:right="-6"/>
        <w:rPr>
          <w:b/>
          <w:bCs/>
          <w:sz w:val="22"/>
          <w:szCs w:val="22"/>
          <w:lang w:val="en-GB"/>
        </w:rPr>
      </w:pPr>
    </w:p>
    <w:p w:rsidR="00193137" w:rsidRPr="0078128B" w:rsidRDefault="00C2103B" w:rsidP="00A874A1">
      <w:pPr>
        <w:spacing w:after="120"/>
        <w:ind w:right="-6"/>
        <w:rPr>
          <w:b/>
          <w:bCs/>
          <w:sz w:val="22"/>
          <w:szCs w:val="22"/>
          <w:lang w:val="en-GB"/>
        </w:rPr>
      </w:pPr>
      <w:r w:rsidRPr="0078128B">
        <w:rPr>
          <w:b/>
          <w:bCs/>
          <w:sz w:val="22"/>
          <w:szCs w:val="22"/>
          <w:lang w:val="en-GB"/>
        </w:rPr>
        <w:t>The Learning Society &amp; VPL</w:t>
      </w:r>
    </w:p>
    <w:p w:rsidR="00C2103B" w:rsidRPr="0078128B" w:rsidRDefault="00C2103B" w:rsidP="00A874A1">
      <w:pPr>
        <w:spacing w:after="120"/>
        <w:ind w:right="-6"/>
        <w:jc w:val="both"/>
        <w:rPr>
          <w:rFonts w:eastAsia="MS Mincho" w:cstheme="minorHAnsi"/>
          <w:lang w:val="en-GB"/>
        </w:rPr>
      </w:pPr>
      <w:r w:rsidRPr="0078128B">
        <w:rPr>
          <w:rFonts w:cstheme="minorHAnsi"/>
          <w:shd w:val="clear" w:color="auto" w:fill="FFFFFF"/>
          <w:lang w:val="en-GB"/>
        </w:rPr>
        <w:t>The concept of ‘the learning society’ originated in the 1960s/70s. In this era there was a growing need for skilled labour. This led to more attention in national policies on the role of education in managing the rise in ‘social and economic wealth’. Education was equated with lifelong learning and a significant and relevant means of transforming social and political life for this purpose (</w:t>
      </w:r>
      <w:proofErr w:type="spellStart"/>
      <w:r w:rsidRPr="0078128B">
        <w:rPr>
          <w:rFonts w:cstheme="minorHAnsi"/>
          <w:shd w:val="clear" w:color="auto" w:fill="FFFFFF"/>
          <w:lang w:val="en-GB"/>
        </w:rPr>
        <w:t>Gelpi</w:t>
      </w:r>
      <w:proofErr w:type="spellEnd"/>
      <w:r w:rsidRPr="0078128B">
        <w:rPr>
          <w:rFonts w:cstheme="minorHAnsi"/>
          <w:shd w:val="clear" w:color="auto" w:fill="FFFFFF"/>
          <w:lang w:val="en-GB"/>
        </w:rPr>
        <w:t xml:space="preserve">, 1985; Hobsbawm, 1994). </w:t>
      </w:r>
      <w:r w:rsidRPr="0078128B">
        <w:rPr>
          <w:rFonts w:cstheme="minorHAnsi"/>
          <w:lang w:val="en-GB"/>
        </w:rPr>
        <w:t>This called for a learning society built on the notions that learning is important and valuable and that all people need to invest continuously in their potential. The UNESCO articulated this focus on learning in 1972 as follows</w:t>
      </w:r>
      <w:r w:rsidRPr="0078128B">
        <w:rPr>
          <w:rFonts w:eastAsia="MS Mincho" w:cstheme="minorHAnsi"/>
          <w:lang w:val="en-GB"/>
        </w:rPr>
        <w:t>:</w:t>
      </w:r>
    </w:p>
    <w:p w:rsidR="00C2103B" w:rsidRPr="0078128B" w:rsidRDefault="00C2103B" w:rsidP="00A874A1">
      <w:pPr>
        <w:ind w:left="284" w:right="277"/>
        <w:jc w:val="both"/>
        <w:rPr>
          <w:rFonts w:eastAsia="MS Mincho" w:cstheme="minorHAnsi"/>
          <w:lang w:val="en-GB"/>
        </w:rPr>
      </w:pPr>
      <w:r w:rsidRPr="0078128B">
        <w:rPr>
          <w:rFonts w:cstheme="minorHAnsi"/>
          <w:i/>
          <w:lang w:val="en-GB"/>
        </w:rPr>
        <w:t>I</w:t>
      </w:r>
      <w:r w:rsidRPr="0078128B">
        <w:rPr>
          <w:rFonts w:eastAsia="MS Mincho" w:cstheme="minorHAnsi"/>
          <w:i/>
          <w:lang w:val="en-GB"/>
        </w:rPr>
        <w:t xml:space="preserve">f learning involves all of one's life, in the sense of both time-span and diversity, and all of society, </w:t>
      </w:r>
      <w:r w:rsidR="00A45044">
        <w:rPr>
          <w:rFonts w:eastAsia="MS Mincho" w:cstheme="minorHAnsi"/>
          <w:i/>
          <w:lang w:val="en-GB"/>
        </w:rPr>
        <w:t>[-]</w:t>
      </w:r>
      <w:r w:rsidRPr="0078128B">
        <w:rPr>
          <w:rFonts w:eastAsia="MS Mincho" w:cstheme="minorHAnsi"/>
          <w:i/>
          <w:lang w:val="en-GB"/>
        </w:rPr>
        <w:t xml:space="preserve"> then we must go even further than the necessary overhaul of 'educational systems' until we reach the stage of </w:t>
      </w:r>
      <w:r w:rsidRPr="0078128B">
        <w:rPr>
          <w:rFonts w:eastAsia="MS Mincho" w:cstheme="minorHAnsi"/>
          <w:i/>
          <w:u w:val="single"/>
          <w:lang w:val="en-GB"/>
        </w:rPr>
        <w:t>a learning society</w:t>
      </w:r>
      <w:r w:rsidRPr="0078128B">
        <w:rPr>
          <w:rFonts w:eastAsia="MS Mincho" w:cstheme="minorHAnsi"/>
          <w:i/>
          <w:lang w:val="en-GB"/>
        </w:rPr>
        <w:t>. For these are the true proportions of the challenge education will be facing in the future.</w:t>
      </w:r>
      <w:r w:rsidRPr="0078128B">
        <w:rPr>
          <w:rFonts w:eastAsia="MS Mincho" w:cstheme="minorHAnsi"/>
          <w:lang w:val="en-GB"/>
        </w:rPr>
        <w:t xml:space="preserve"> (Faure, et all, 1972, p. xxxiii)</w:t>
      </w:r>
    </w:p>
    <w:p w:rsidR="00C2103B" w:rsidRPr="0078128B" w:rsidRDefault="00C2103B" w:rsidP="00A874A1">
      <w:pPr>
        <w:ind w:right="-6"/>
        <w:rPr>
          <w:rFonts w:eastAsia="MS Mincho" w:cstheme="minorHAnsi"/>
          <w:lang w:val="en-GB"/>
        </w:rPr>
      </w:pPr>
    </w:p>
    <w:p w:rsidR="009361DA" w:rsidRDefault="00C2103B" w:rsidP="00A874A1">
      <w:pPr>
        <w:spacing w:after="120"/>
        <w:ind w:right="-6"/>
        <w:jc w:val="both"/>
        <w:rPr>
          <w:rFonts w:cstheme="minorHAnsi"/>
          <w:lang w:val="en-GB"/>
        </w:rPr>
      </w:pPr>
      <w:r w:rsidRPr="0078128B">
        <w:rPr>
          <w:rFonts w:cstheme="minorHAnsi"/>
          <w:shd w:val="clear" w:color="auto" w:fill="FFFFFF"/>
          <w:lang w:val="en-GB"/>
        </w:rPr>
        <w:t>In such a learning society, VPL</w:t>
      </w:r>
      <w:r w:rsidR="00597218">
        <w:rPr>
          <w:rFonts w:cstheme="minorHAnsi"/>
          <w:shd w:val="clear" w:color="auto" w:fill="FFFFFF"/>
          <w:lang w:val="en-GB"/>
        </w:rPr>
        <w:t xml:space="preserve"> </w:t>
      </w:r>
      <w:r w:rsidRPr="0078128B">
        <w:rPr>
          <w:rFonts w:cstheme="minorHAnsi"/>
          <w:shd w:val="clear" w:color="auto" w:fill="FFFFFF"/>
          <w:lang w:val="en-GB"/>
        </w:rPr>
        <w:t xml:space="preserve">acts as </w:t>
      </w:r>
      <w:r w:rsidR="00597218">
        <w:rPr>
          <w:rFonts w:cstheme="minorHAnsi"/>
          <w:shd w:val="clear" w:color="auto" w:fill="FFFFFF"/>
          <w:lang w:val="en-GB"/>
        </w:rPr>
        <w:t>a</w:t>
      </w:r>
      <w:r w:rsidR="005A23E1">
        <w:rPr>
          <w:rFonts w:cstheme="minorHAnsi"/>
          <w:shd w:val="clear" w:color="auto" w:fill="FFFFFF"/>
          <w:lang w:val="en-GB"/>
        </w:rPr>
        <w:t xml:space="preserve"> connector</w:t>
      </w:r>
      <w:r w:rsidRPr="0078128B">
        <w:rPr>
          <w:rFonts w:cstheme="minorHAnsi"/>
          <w:shd w:val="clear" w:color="auto" w:fill="FFFFFF"/>
          <w:lang w:val="en-GB"/>
        </w:rPr>
        <w:t xml:space="preserve"> for creating and facilitating lifelong learning by e</w:t>
      </w:r>
      <w:r w:rsidRPr="0078128B">
        <w:rPr>
          <w:rFonts w:cstheme="minorHAnsi"/>
          <w:lang w:val="en-GB"/>
        </w:rPr>
        <w:t xml:space="preserve">nabling learners to (1) </w:t>
      </w:r>
      <w:r w:rsidR="00597218">
        <w:rPr>
          <w:rFonts w:cstheme="minorHAnsi"/>
          <w:lang w:val="en-GB"/>
        </w:rPr>
        <w:t>validate</w:t>
      </w:r>
      <w:r w:rsidRPr="0078128B">
        <w:rPr>
          <w:rFonts w:cstheme="minorHAnsi"/>
          <w:lang w:val="en-GB"/>
        </w:rPr>
        <w:t xml:space="preserve"> their prior learning achievements and (2) create a </w:t>
      </w:r>
      <w:r w:rsidR="00597218">
        <w:rPr>
          <w:rFonts w:cstheme="minorHAnsi"/>
          <w:lang w:val="en-GB"/>
        </w:rPr>
        <w:t xml:space="preserve">further </w:t>
      </w:r>
      <w:r w:rsidRPr="0078128B">
        <w:rPr>
          <w:rFonts w:cstheme="minorHAnsi"/>
          <w:lang w:val="en-GB"/>
        </w:rPr>
        <w:t xml:space="preserve">learning strategy when </w:t>
      </w:r>
      <w:r w:rsidRPr="0078128B">
        <w:rPr>
          <w:rFonts w:cstheme="minorHAnsi"/>
          <w:lang w:val="en-GB"/>
        </w:rPr>
        <w:lastRenderedPageBreak/>
        <w:t xml:space="preserve">reflecting on </w:t>
      </w:r>
      <w:r w:rsidR="00597218">
        <w:rPr>
          <w:rFonts w:cstheme="minorHAnsi"/>
          <w:lang w:val="en-GB"/>
        </w:rPr>
        <w:t>this</w:t>
      </w:r>
      <w:r w:rsidRPr="0078128B">
        <w:rPr>
          <w:rFonts w:cstheme="minorHAnsi"/>
          <w:lang w:val="en-GB"/>
        </w:rPr>
        <w:t xml:space="preserve"> prior learning. </w:t>
      </w:r>
      <w:r w:rsidRPr="0078128B">
        <w:rPr>
          <w:rFonts w:cstheme="minorHAnsi"/>
          <w:shd w:val="clear" w:color="auto" w:fill="FFFFFF"/>
          <w:lang w:val="en-GB"/>
        </w:rPr>
        <w:t>VPL utilizes past</w:t>
      </w:r>
      <w:r w:rsidRPr="0078128B">
        <w:rPr>
          <w:rFonts w:cstheme="minorHAnsi"/>
          <w:lang w:val="en-GB"/>
        </w:rPr>
        <w:t xml:space="preserve"> learning experiences for creating</w:t>
      </w:r>
      <w:r w:rsidRPr="0078128B">
        <w:rPr>
          <w:rFonts w:cstheme="minorHAnsi"/>
          <w:shd w:val="clear" w:color="auto" w:fill="FFFFFF"/>
          <w:lang w:val="en-GB"/>
        </w:rPr>
        <w:t xml:space="preserve"> new learning perspectives. VPL steers people’s emp</w:t>
      </w:r>
      <w:r w:rsidRPr="0078128B">
        <w:rPr>
          <w:rFonts w:cstheme="minorHAnsi"/>
          <w:lang w:val="en-GB"/>
        </w:rPr>
        <w:t xml:space="preserve">owerment with its focus on the freedom of choice and action to shape one’s life. This implies </w:t>
      </w:r>
      <w:r w:rsidR="00F86FE6">
        <w:rPr>
          <w:rFonts w:cstheme="minorHAnsi"/>
          <w:lang w:val="en-GB"/>
        </w:rPr>
        <w:t>ownership of one’s learning</w:t>
      </w:r>
      <w:r w:rsidRPr="0078128B">
        <w:rPr>
          <w:rFonts w:cstheme="minorHAnsi"/>
          <w:lang w:val="en-GB"/>
        </w:rPr>
        <w:t xml:space="preserve"> and focuses on </w:t>
      </w:r>
      <w:r w:rsidR="00F86FE6">
        <w:rPr>
          <w:rFonts w:cstheme="minorHAnsi"/>
          <w:lang w:val="en-GB"/>
        </w:rPr>
        <w:t>‘</w:t>
      </w:r>
      <w:r w:rsidRPr="0078128B">
        <w:rPr>
          <w:rFonts w:cstheme="minorHAnsi"/>
          <w:lang w:val="en-GB"/>
        </w:rPr>
        <w:t xml:space="preserve">the voice of the </w:t>
      </w:r>
      <w:r w:rsidR="00F86FE6">
        <w:rPr>
          <w:rFonts w:cstheme="minorHAnsi"/>
          <w:lang w:val="en-GB"/>
        </w:rPr>
        <w:t>self’</w:t>
      </w:r>
      <w:r w:rsidRPr="0078128B">
        <w:rPr>
          <w:rFonts w:cstheme="minorHAnsi"/>
          <w:lang w:val="en-GB"/>
        </w:rPr>
        <w:t xml:space="preserve"> when participating and negotiating with other actors in the learning arena on the why, how and what of further learning (</w:t>
      </w:r>
      <w:r w:rsidR="00F86FE6">
        <w:rPr>
          <w:rFonts w:cstheme="minorHAnsi"/>
          <w:lang w:val="en-GB"/>
        </w:rPr>
        <w:t xml:space="preserve">Giddens, 1991; </w:t>
      </w:r>
      <w:r w:rsidRPr="0078128B">
        <w:rPr>
          <w:rFonts w:cstheme="minorHAnsi"/>
          <w:lang w:val="en-GB"/>
        </w:rPr>
        <w:t xml:space="preserve">Narayan, 2005). Such empowerment challenges the existing education system and demands the design of </w:t>
      </w:r>
      <w:r w:rsidR="00F86FE6">
        <w:rPr>
          <w:rFonts w:cstheme="minorHAnsi"/>
          <w:lang w:val="en-GB"/>
        </w:rPr>
        <w:t xml:space="preserve">flexible and tailor-made </w:t>
      </w:r>
      <w:r w:rsidRPr="0078128B">
        <w:rPr>
          <w:rFonts w:cstheme="minorHAnsi"/>
          <w:lang w:val="en-GB"/>
        </w:rPr>
        <w:t xml:space="preserve">learning </w:t>
      </w:r>
      <w:r w:rsidR="00F86FE6">
        <w:rPr>
          <w:rFonts w:cstheme="minorHAnsi"/>
          <w:lang w:val="en-GB"/>
        </w:rPr>
        <w:t>in any given context, for any purpose.</w:t>
      </w:r>
      <w:r w:rsidR="009361DA">
        <w:rPr>
          <w:rFonts w:cstheme="minorHAnsi"/>
          <w:lang w:val="en-GB"/>
        </w:rPr>
        <w:t xml:space="preserve"> </w:t>
      </w:r>
    </w:p>
    <w:p w:rsidR="00C2103B" w:rsidRPr="0078128B" w:rsidRDefault="00C2103B" w:rsidP="00A874A1">
      <w:pPr>
        <w:spacing w:after="120"/>
        <w:ind w:right="-6"/>
        <w:jc w:val="both"/>
        <w:rPr>
          <w:rFonts w:cstheme="minorHAnsi"/>
          <w:lang w:val="en-GB"/>
        </w:rPr>
      </w:pPr>
      <w:r w:rsidRPr="0078128B">
        <w:rPr>
          <w:rFonts w:cstheme="minorHAnsi"/>
          <w:lang w:val="en-GB"/>
        </w:rPr>
        <w:t>VPL strengthen</w:t>
      </w:r>
      <w:r w:rsidR="009361DA">
        <w:rPr>
          <w:rFonts w:cstheme="minorHAnsi"/>
          <w:lang w:val="en-GB"/>
        </w:rPr>
        <w:t>s</w:t>
      </w:r>
      <w:r w:rsidRPr="0078128B">
        <w:rPr>
          <w:rFonts w:cstheme="minorHAnsi"/>
          <w:lang w:val="en-GB"/>
        </w:rPr>
        <w:t xml:space="preserve"> the role of the individual in </w:t>
      </w:r>
      <w:r w:rsidR="009361DA">
        <w:rPr>
          <w:rFonts w:cstheme="minorHAnsi"/>
          <w:lang w:val="en-GB"/>
        </w:rPr>
        <w:t>creating</w:t>
      </w:r>
      <w:r w:rsidRPr="0078128B">
        <w:rPr>
          <w:rFonts w:cstheme="minorHAnsi"/>
          <w:lang w:val="en-GB"/>
        </w:rPr>
        <w:t xml:space="preserve"> learning perspective</w:t>
      </w:r>
      <w:r w:rsidR="009361DA">
        <w:rPr>
          <w:rFonts w:cstheme="minorHAnsi"/>
          <w:lang w:val="en-GB"/>
        </w:rPr>
        <w:t>s</w:t>
      </w:r>
      <w:r w:rsidRPr="0078128B">
        <w:rPr>
          <w:rFonts w:cstheme="minorHAnsi"/>
          <w:lang w:val="en-GB"/>
        </w:rPr>
        <w:t>. It demonstrate</w:t>
      </w:r>
      <w:r w:rsidR="009361DA">
        <w:rPr>
          <w:rFonts w:cstheme="minorHAnsi"/>
          <w:lang w:val="en-GB"/>
        </w:rPr>
        <w:t>s</w:t>
      </w:r>
      <w:r w:rsidRPr="0078128B">
        <w:rPr>
          <w:rFonts w:cstheme="minorHAnsi"/>
          <w:lang w:val="en-GB"/>
        </w:rPr>
        <w:t xml:space="preserve"> the value of learning in terms of profit (status, money), efficiency (time, customisation), and enjoyment. The learning-programme-independent nature of assessment enhances the </w:t>
      </w:r>
      <w:r w:rsidR="009361DA">
        <w:rPr>
          <w:rFonts w:cstheme="minorHAnsi"/>
          <w:lang w:val="en-GB"/>
        </w:rPr>
        <w:t>impact of</w:t>
      </w:r>
      <w:r w:rsidRPr="0078128B">
        <w:rPr>
          <w:rFonts w:cstheme="minorHAnsi"/>
          <w:lang w:val="en-GB"/>
        </w:rPr>
        <w:t xml:space="preserve"> VPL for </w:t>
      </w:r>
      <w:r w:rsidR="009361DA">
        <w:rPr>
          <w:rFonts w:cstheme="minorHAnsi"/>
          <w:lang w:val="en-GB"/>
        </w:rPr>
        <w:t xml:space="preserve">various </w:t>
      </w:r>
      <w:r w:rsidRPr="0078128B">
        <w:rPr>
          <w:rFonts w:cstheme="minorHAnsi"/>
          <w:lang w:val="en-GB"/>
        </w:rPr>
        <w:t>personal objectives</w:t>
      </w:r>
      <w:r w:rsidR="009361DA">
        <w:rPr>
          <w:rFonts w:cstheme="minorHAnsi"/>
          <w:lang w:val="en-GB"/>
        </w:rPr>
        <w:t xml:space="preserve">: </w:t>
      </w:r>
      <w:r w:rsidRPr="0078128B">
        <w:rPr>
          <w:rFonts w:cstheme="minorHAnsi"/>
          <w:lang w:val="en-GB"/>
        </w:rPr>
        <w:t>qualifications, caree</w:t>
      </w:r>
      <w:r w:rsidR="009361DA">
        <w:rPr>
          <w:rFonts w:cstheme="minorHAnsi"/>
          <w:lang w:val="en-GB"/>
        </w:rPr>
        <w:t xml:space="preserve">r-steps, </w:t>
      </w:r>
      <w:r w:rsidRPr="0078128B">
        <w:rPr>
          <w:rFonts w:cstheme="minorHAnsi"/>
          <w:lang w:val="en-GB"/>
        </w:rPr>
        <w:t>personal meaning</w:t>
      </w:r>
      <w:r w:rsidR="009361DA">
        <w:rPr>
          <w:rFonts w:cstheme="minorHAnsi"/>
          <w:lang w:val="en-GB"/>
        </w:rPr>
        <w:t>, etc.</w:t>
      </w:r>
      <w:r w:rsidRPr="0078128B">
        <w:rPr>
          <w:rFonts w:cstheme="minorHAnsi"/>
          <w:lang w:val="en-GB"/>
        </w:rPr>
        <w:t xml:space="preserve"> (Duvekot, 2016).</w:t>
      </w:r>
      <w:r w:rsidR="009361DA">
        <w:rPr>
          <w:rFonts w:cstheme="minorHAnsi"/>
          <w:lang w:val="en-GB"/>
        </w:rPr>
        <w:t xml:space="preserve"> </w:t>
      </w:r>
      <w:r w:rsidRPr="0078128B">
        <w:rPr>
          <w:rFonts w:cstheme="minorHAnsi"/>
          <w:lang w:val="en-GB"/>
        </w:rPr>
        <w:t xml:space="preserve">VPL is a process of </w:t>
      </w:r>
      <w:r w:rsidR="009361DA">
        <w:rPr>
          <w:rFonts w:cstheme="minorHAnsi"/>
          <w:lang w:val="en-GB"/>
        </w:rPr>
        <w:t>five</w:t>
      </w:r>
      <w:r w:rsidRPr="0078128B">
        <w:rPr>
          <w:rFonts w:cstheme="minorHAnsi"/>
          <w:lang w:val="en-GB"/>
        </w:rPr>
        <w:t xml:space="preserve"> consecutive phases:</w:t>
      </w:r>
    </w:p>
    <w:p w:rsidR="00C2103B" w:rsidRPr="0078128B" w:rsidRDefault="00C2103B" w:rsidP="00A874A1">
      <w:pPr>
        <w:pStyle w:val="Lijstalinea"/>
        <w:numPr>
          <w:ilvl w:val="0"/>
          <w:numId w:val="2"/>
        </w:numPr>
        <w:autoSpaceDE w:val="0"/>
        <w:autoSpaceDN w:val="0"/>
        <w:adjustRightInd w:val="0"/>
        <w:spacing w:after="120"/>
        <w:ind w:left="284" w:right="-6" w:hanging="284"/>
        <w:jc w:val="both"/>
        <w:rPr>
          <w:rFonts w:asciiTheme="minorHAnsi" w:eastAsiaTheme="minorHAnsi" w:hAnsiTheme="minorHAnsi" w:cstheme="minorHAnsi"/>
          <w:lang w:val="en-GB"/>
        </w:rPr>
      </w:pPr>
      <w:r w:rsidRPr="0078128B">
        <w:rPr>
          <w:rFonts w:asciiTheme="minorHAnsi" w:eastAsiaTheme="minorHAnsi" w:hAnsiTheme="minorHAnsi" w:cstheme="minorHAnsi"/>
          <w:i/>
          <w:lang w:val="en-GB"/>
        </w:rPr>
        <w:t>Identification</w:t>
      </w:r>
      <w:r w:rsidRPr="0078128B">
        <w:rPr>
          <w:rFonts w:asciiTheme="minorHAnsi" w:eastAsiaTheme="minorHAnsi" w:hAnsiTheme="minorHAnsi" w:cstheme="minorHAnsi"/>
          <w:lang w:val="en-GB"/>
        </w:rPr>
        <w:t xml:space="preserve"> of an individual’s learning outcomes acquired through non-formal and informal learning.</w:t>
      </w:r>
    </w:p>
    <w:p w:rsidR="00C2103B" w:rsidRPr="0078128B" w:rsidRDefault="00C2103B" w:rsidP="00A874A1">
      <w:pPr>
        <w:pStyle w:val="Lijstalinea"/>
        <w:numPr>
          <w:ilvl w:val="0"/>
          <w:numId w:val="2"/>
        </w:numPr>
        <w:autoSpaceDE w:val="0"/>
        <w:autoSpaceDN w:val="0"/>
        <w:adjustRightInd w:val="0"/>
        <w:spacing w:after="120"/>
        <w:ind w:left="284" w:right="-6" w:hanging="284"/>
        <w:jc w:val="both"/>
        <w:rPr>
          <w:rFonts w:asciiTheme="minorHAnsi" w:eastAsiaTheme="minorHAnsi" w:hAnsiTheme="minorHAnsi" w:cstheme="minorHAnsi"/>
          <w:lang w:val="en-GB"/>
        </w:rPr>
      </w:pPr>
      <w:r w:rsidRPr="0078128B">
        <w:rPr>
          <w:rFonts w:asciiTheme="minorHAnsi" w:eastAsiaTheme="minorHAnsi" w:hAnsiTheme="minorHAnsi" w:cstheme="minorHAnsi"/>
          <w:i/>
          <w:lang w:val="en-GB"/>
        </w:rPr>
        <w:t>Documentation</w:t>
      </w:r>
      <w:r w:rsidRPr="0078128B">
        <w:rPr>
          <w:rFonts w:asciiTheme="minorHAnsi" w:eastAsiaTheme="minorHAnsi" w:hAnsiTheme="minorHAnsi" w:cstheme="minorHAnsi"/>
          <w:lang w:val="en-GB"/>
        </w:rPr>
        <w:t xml:space="preserve"> of an individual’s learning outcomes acquired through non-formal and informal learning.</w:t>
      </w:r>
    </w:p>
    <w:p w:rsidR="00084005" w:rsidRDefault="00C2103B" w:rsidP="00084005">
      <w:pPr>
        <w:pStyle w:val="Lijstalinea"/>
        <w:numPr>
          <w:ilvl w:val="0"/>
          <w:numId w:val="2"/>
        </w:numPr>
        <w:autoSpaceDE w:val="0"/>
        <w:autoSpaceDN w:val="0"/>
        <w:adjustRightInd w:val="0"/>
        <w:spacing w:after="120"/>
        <w:ind w:left="284" w:right="-6" w:hanging="284"/>
        <w:jc w:val="both"/>
        <w:rPr>
          <w:rFonts w:asciiTheme="minorHAnsi" w:eastAsiaTheme="minorHAnsi" w:hAnsiTheme="minorHAnsi" w:cstheme="minorHAnsi"/>
          <w:lang w:val="en-GB"/>
        </w:rPr>
      </w:pPr>
      <w:r w:rsidRPr="0078128B">
        <w:rPr>
          <w:rFonts w:asciiTheme="minorHAnsi" w:eastAsiaTheme="minorHAnsi" w:hAnsiTheme="minorHAnsi" w:cstheme="minorHAnsi"/>
          <w:i/>
          <w:lang w:val="en-GB"/>
        </w:rPr>
        <w:t>Assessment</w:t>
      </w:r>
      <w:r w:rsidRPr="0078128B">
        <w:rPr>
          <w:rFonts w:asciiTheme="minorHAnsi" w:eastAsiaTheme="minorHAnsi" w:hAnsiTheme="minorHAnsi" w:cstheme="minorHAnsi"/>
          <w:lang w:val="en-GB"/>
        </w:rPr>
        <w:t xml:space="preserve"> of an individual’s learning outcomes acquired through non-formal and informal learning</w:t>
      </w:r>
      <w:r w:rsidR="00084005">
        <w:rPr>
          <w:rFonts w:asciiTheme="minorHAnsi" w:eastAsiaTheme="minorHAnsi" w:hAnsiTheme="minorHAnsi" w:cstheme="minorHAnsi"/>
          <w:lang w:val="en-GB"/>
        </w:rPr>
        <w:t>.</w:t>
      </w:r>
    </w:p>
    <w:p w:rsidR="00C2103B" w:rsidRPr="00084005" w:rsidRDefault="00C2103B" w:rsidP="00084005">
      <w:pPr>
        <w:pStyle w:val="Lijstalinea"/>
        <w:numPr>
          <w:ilvl w:val="0"/>
          <w:numId w:val="2"/>
        </w:numPr>
        <w:autoSpaceDE w:val="0"/>
        <w:autoSpaceDN w:val="0"/>
        <w:adjustRightInd w:val="0"/>
        <w:spacing w:after="120"/>
        <w:ind w:left="284" w:right="-6" w:hanging="284"/>
        <w:jc w:val="both"/>
        <w:rPr>
          <w:rFonts w:asciiTheme="minorHAnsi" w:eastAsiaTheme="minorHAnsi" w:hAnsiTheme="minorHAnsi" w:cstheme="minorHAnsi"/>
          <w:lang w:val="en-GB"/>
        </w:rPr>
      </w:pPr>
      <w:r w:rsidRPr="00084005">
        <w:rPr>
          <w:rFonts w:asciiTheme="minorHAnsi" w:eastAsiaTheme="minorHAnsi" w:hAnsiTheme="minorHAnsi" w:cstheme="minorHAnsi"/>
          <w:i/>
          <w:lang w:val="en-GB"/>
        </w:rPr>
        <w:t>Certification</w:t>
      </w:r>
      <w:r w:rsidRPr="00084005">
        <w:rPr>
          <w:rFonts w:asciiTheme="minorHAnsi" w:eastAsiaTheme="minorHAnsi" w:hAnsiTheme="minorHAnsi" w:cstheme="minorHAnsi"/>
          <w:lang w:val="en-GB"/>
        </w:rPr>
        <w:t xml:space="preserve"> of the results of the assessment of an individual’s learning outcomes acquired through non-formal and informal learning in the form of a qualification, or credits leading to a qualification, or in another form, as appropriate.</w:t>
      </w:r>
      <w:r w:rsidR="00084005" w:rsidRPr="00084005">
        <w:rPr>
          <w:rFonts w:asciiTheme="minorHAnsi" w:eastAsiaTheme="minorHAnsi" w:hAnsiTheme="minorHAnsi" w:cstheme="minorHAnsi"/>
          <w:lang w:val="en-GB"/>
        </w:rPr>
        <w:t xml:space="preserve"> </w:t>
      </w:r>
      <w:r w:rsidRPr="00084005">
        <w:rPr>
          <w:rFonts w:asciiTheme="minorHAnsi" w:eastAsiaTheme="minorHAnsi" w:hAnsiTheme="minorHAnsi" w:cstheme="minorHAnsi"/>
          <w:lang w:val="en-GB"/>
        </w:rPr>
        <w:t>(</w:t>
      </w:r>
      <w:proofErr w:type="spellStart"/>
      <w:r w:rsidRPr="00084005">
        <w:rPr>
          <w:rFonts w:asciiTheme="minorHAnsi" w:eastAsiaTheme="minorHAnsi" w:hAnsiTheme="minorHAnsi" w:cstheme="minorHAnsi"/>
          <w:lang w:val="en-GB"/>
        </w:rPr>
        <w:t>Cedefop</w:t>
      </w:r>
      <w:proofErr w:type="spellEnd"/>
      <w:r w:rsidRPr="00084005">
        <w:rPr>
          <w:rFonts w:asciiTheme="minorHAnsi" w:eastAsiaTheme="minorHAnsi" w:hAnsiTheme="minorHAnsi" w:cstheme="minorHAnsi"/>
          <w:lang w:val="en-GB"/>
        </w:rPr>
        <w:t>, 2015, p. 14)</w:t>
      </w:r>
    </w:p>
    <w:p w:rsidR="00C2103B" w:rsidRPr="0078128B" w:rsidRDefault="009361DA" w:rsidP="00A874A1">
      <w:pPr>
        <w:pStyle w:val="m-1889584391201206170gmail-btbullet2"/>
        <w:spacing w:before="0" w:beforeAutospacing="0" w:after="120" w:afterAutospacing="0"/>
        <w:ind w:right="-6"/>
        <w:jc w:val="both"/>
        <w:rPr>
          <w:rFonts w:ascii="Calibri" w:hAnsi="Calibri" w:cs="Calibri"/>
          <w:sz w:val="20"/>
          <w:szCs w:val="20"/>
          <w:lang w:val="en-GB"/>
        </w:rPr>
      </w:pPr>
      <w:r>
        <w:rPr>
          <w:rFonts w:ascii="Calibri" w:hAnsi="Calibri" w:cs="Calibri"/>
          <w:sz w:val="20"/>
          <w:szCs w:val="20"/>
          <w:lang w:val="en-GB"/>
        </w:rPr>
        <w:t>These</w:t>
      </w:r>
      <w:r w:rsidR="00C2103B" w:rsidRPr="0078128B">
        <w:rPr>
          <w:rFonts w:ascii="Calibri" w:hAnsi="Calibri" w:cs="Calibri"/>
          <w:sz w:val="20"/>
          <w:szCs w:val="20"/>
          <w:lang w:val="en-GB"/>
        </w:rPr>
        <w:t xml:space="preserve"> four phases offer an outlook </w:t>
      </w:r>
      <w:r>
        <w:rPr>
          <w:rFonts w:ascii="Calibri" w:hAnsi="Calibri" w:cs="Calibri"/>
          <w:sz w:val="20"/>
          <w:szCs w:val="20"/>
          <w:lang w:val="en-GB"/>
        </w:rPr>
        <w:t>on</w:t>
      </w:r>
      <w:r w:rsidR="00C2103B" w:rsidRPr="0078128B">
        <w:rPr>
          <w:rFonts w:ascii="Calibri" w:hAnsi="Calibri" w:cs="Calibri"/>
          <w:sz w:val="20"/>
          <w:szCs w:val="20"/>
          <w:lang w:val="en-GB"/>
        </w:rPr>
        <w:t xml:space="preserve"> learning strategies in which the organisation-context</w:t>
      </w:r>
      <w:r>
        <w:rPr>
          <w:rFonts w:ascii="Calibri" w:hAnsi="Calibri" w:cs="Calibri"/>
          <w:sz w:val="20"/>
          <w:szCs w:val="20"/>
          <w:lang w:val="en-GB"/>
        </w:rPr>
        <w:t xml:space="preserve"> [labour market]</w:t>
      </w:r>
      <w:r w:rsidR="00C2103B" w:rsidRPr="0078128B">
        <w:rPr>
          <w:rFonts w:ascii="Calibri" w:hAnsi="Calibri" w:cs="Calibri"/>
          <w:sz w:val="20"/>
          <w:szCs w:val="20"/>
          <w:lang w:val="en-GB"/>
        </w:rPr>
        <w:t xml:space="preserve"> and learning services </w:t>
      </w:r>
      <w:r>
        <w:rPr>
          <w:rFonts w:ascii="Calibri" w:hAnsi="Calibri" w:cs="Calibri"/>
          <w:sz w:val="20"/>
          <w:szCs w:val="20"/>
          <w:lang w:val="en-GB"/>
        </w:rPr>
        <w:t xml:space="preserve">of schools and universities </w:t>
      </w:r>
      <w:r w:rsidR="00C2103B" w:rsidRPr="0078128B">
        <w:rPr>
          <w:rFonts w:ascii="Calibri" w:hAnsi="Calibri" w:cs="Calibri"/>
          <w:sz w:val="20"/>
          <w:szCs w:val="20"/>
          <w:lang w:val="en-GB"/>
        </w:rPr>
        <w:t xml:space="preserve">are crucial for keeping up with the speed of individual </w:t>
      </w:r>
      <w:r>
        <w:rPr>
          <w:rFonts w:ascii="Calibri" w:hAnsi="Calibri" w:cs="Calibri"/>
          <w:sz w:val="20"/>
          <w:szCs w:val="20"/>
          <w:lang w:val="en-GB"/>
        </w:rPr>
        <w:t xml:space="preserve">capacitation and </w:t>
      </w:r>
      <w:r w:rsidR="00C2103B" w:rsidRPr="0078128B">
        <w:rPr>
          <w:rFonts w:ascii="Calibri" w:hAnsi="Calibri" w:cs="Calibri"/>
          <w:sz w:val="20"/>
          <w:szCs w:val="20"/>
          <w:lang w:val="en-GB"/>
        </w:rPr>
        <w:t xml:space="preserve">development. </w:t>
      </w:r>
      <w:r>
        <w:rPr>
          <w:rFonts w:ascii="Calibri" w:hAnsi="Calibri" w:cs="Calibri"/>
          <w:sz w:val="20"/>
          <w:szCs w:val="20"/>
          <w:lang w:val="en-GB"/>
        </w:rPr>
        <w:t>A</w:t>
      </w:r>
      <w:r w:rsidR="00C2103B" w:rsidRPr="0078128B">
        <w:rPr>
          <w:rFonts w:ascii="Calibri" w:hAnsi="Calibri" w:cs="Calibri"/>
          <w:sz w:val="20"/>
          <w:szCs w:val="20"/>
          <w:lang w:val="en-GB"/>
        </w:rPr>
        <w:t xml:space="preserve"> fifth phase needs to be </w:t>
      </w:r>
      <w:r>
        <w:rPr>
          <w:rFonts w:ascii="Calibri" w:hAnsi="Calibri" w:cs="Calibri"/>
          <w:sz w:val="20"/>
          <w:szCs w:val="20"/>
          <w:lang w:val="en-GB"/>
        </w:rPr>
        <w:t>in place for VPL</w:t>
      </w:r>
      <w:r w:rsidR="00C2103B" w:rsidRPr="0078128B">
        <w:rPr>
          <w:rFonts w:ascii="Calibri" w:hAnsi="Calibri" w:cs="Calibri"/>
          <w:sz w:val="20"/>
          <w:szCs w:val="20"/>
          <w:lang w:val="en-GB"/>
        </w:rPr>
        <w:t xml:space="preserve"> to establish its true promise:</w:t>
      </w:r>
    </w:p>
    <w:p w:rsidR="00C2103B" w:rsidRPr="0078128B" w:rsidRDefault="00C2103B" w:rsidP="00A874A1">
      <w:pPr>
        <w:pStyle w:val="m-1889584391201206170gmail-btbullet2"/>
        <w:numPr>
          <w:ilvl w:val="0"/>
          <w:numId w:val="2"/>
        </w:numPr>
        <w:spacing w:before="0" w:beforeAutospacing="0" w:after="120" w:afterAutospacing="0"/>
        <w:ind w:left="284" w:right="-6" w:hanging="284"/>
        <w:jc w:val="both"/>
        <w:rPr>
          <w:rFonts w:asciiTheme="minorHAnsi" w:hAnsiTheme="minorHAnsi" w:cstheme="minorHAnsi"/>
          <w:snapToGrid w:val="0"/>
          <w:sz w:val="20"/>
          <w:szCs w:val="20"/>
          <w:lang w:val="en-GB"/>
        </w:rPr>
      </w:pPr>
      <w:r w:rsidRPr="0078128B">
        <w:rPr>
          <w:rFonts w:ascii="Calibri" w:hAnsi="Calibri" w:cs="Calibri"/>
          <w:i/>
          <w:iCs/>
          <w:color w:val="000000"/>
          <w:sz w:val="20"/>
          <w:szCs w:val="20"/>
          <w:shd w:val="clear" w:color="auto" w:fill="FFFFFF" w:themeFill="background1"/>
          <w:lang w:val="en-GB"/>
        </w:rPr>
        <w:t>VPL follow-up </w:t>
      </w:r>
      <w:r w:rsidRPr="0078128B">
        <w:rPr>
          <w:rFonts w:ascii="Calibri" w:hAnsi="Calibri" w:cs="Calibri"/>
          <w:color w:val="000000"/>
          <w:sz w:val="20"/>
          <w:szCs w:val="20"/>
          <w:shd w:val="clear" w:color="auto" w:fill="FFFFFF" w:themeFill="background1"/>
          <w:lang w:val="en-GB"/>
        </w:rPr>
        <w:t>entails</w:t>
      </w:r>
      <w:r w:rsidR="009361DA">
        <w:rPr>
          <w:rFonts w:ascii="Calibri" w:hAnsi="Calibri" w:cs="Calibri"/>
          <w:color w:val="000000"/>
          <w:sz w:val="20"/>
          <w:szCs w:val="20"/>
          <w:shd w:val="clear" w:color="auto" w:fill="FFFFFF" w:themeFill="background1"/>
          <w:lang w:val="en-GB"/>
        </w:rPr>
        <w:t xml:space="preserve"> </w:t>
      </w:r>
      <w:r w:rsidRPr="0078128B">
        <w:rPr>
          <w:rFonts w:ascii="Calibri" w:hAnsi="Calibri" w:cs="Calibri"/>
          <w:color w:val="000000"/>
          <w:sz w:val="20"/>
          <w:szCs w:val="20"/>
          <w:shd w:val="clear" w:color="auto" w:fill="FFFFFF" w:themeFill="background1"/>
          <w:lang w:val="en-GB"/>
        </w:rPr>
        <w:t xml:space="preserve">activities in learning and working that enable the accredited, personal learning outcomes to be </w:t>
      </w:r>
      <w:r w:rsidR="009361DA" w:rsidRPr="0078128B">
        <w:rPr>
          <w:rFonts w:ascii="Calibri" w:hAnsi="Calibri" w:cs="Calibri"/>
          <w:color w:val="000000"/>
          <w:sz w:val="20"/>
          <w:szCs w:val="20"/>
          <w:shd w:val="clear" w:color="auto" w:fill="FFFFFF" w:themeFill="background1"/>
          <w:lang w:val="en-GB"/>
        </w:rPr>
        <w:t>utilized</w:t>
      </w:r>
      <w:r w:rsidRPr="0078128B">
        <w:rPr>
          <w:rFonts w:ascii="Calibri" w:hAnsi="Calibri" w:cs="Calibri"/>
          <w:color w:val="000000"/>
          <w:sz w:val="20"/>
          <w:szCs w:val="20"/>
          <w:shd w:val="clear" w:color="auto" w:fill="FFFFFF" w:themeFill="background1"/>
          <w:lang w:val="en-GB"/>
        </w:rPr>
        <w:t xml:space="preserve"> for creating a variety of perspectives in the worlds of learning and working.</w:t>
      </w:r>
    </w:p>
    <w:p w:rsidR="00AD7C0C" w:rsidRDefault="00A45044" w:rsidP="00A874A1">
      <w:pPr>
        <w:spacing w:after="120"/>
        <w:ind w:right="-6"/>
        <w:jc w:val="both"/>
        <w:rPr>
          <w:iCs/>
          <w:color w:val="000000" w:themeColor="text1"/>
          <w:lang w:val="en-GB"/>
        </w:rPr>
      </w:pPr>
      <w:r>
        <w:rPr>
          <w:iCs/>
          <w:color w:val="000000" w:themeColor="text1"/>
          <w:lang w:val="en-GB"/>
        </w:rPr>
        <w:t>When</w:t>
      </w:r>
      <w:r w:rsidR="009361DA">
        <w:rPr>
          <w:iCs/>
          <w:color w:val="000000" w:themeColor="text1"/>
          <w:lang w:val="en-GB"/>
        </w:rPr>
        <w:t xml:space="preserve"> affording VPL as a</w:t>
      </w:r>
      <w:r w:rsidR="009361DA" w:rsidRPr="009361DA">
        <w:rPr>
          <w:iCs/>
          <w:color w:val="000000" w:themeColor="text1"/>
          <w:lang w:val="en-GB"/>
        </w:rPr>
        <w:t xml:space="preserve"> five phases</w:t>
      </w:r>
      <w:r w:rsidR="009361DA">
        <w:rPr>
          <w:iCs/>
          <w:color w:val="000000" w:themeColor="text1"/>
          <w:lang w:val="en-GB"/>
        </w:rPr>
        <w:t>-process, HEIs</w:t>
      </w:r>
      <w:r w:rsidR="009361DA" w:rsidRPr="009361DA">
        <w:rPr>
          <w:iCs/>
          <w:color w:val="000000" w:themeColor="text1"/>
          <w:lang w:val="en-GB"/>
        </w:rPr>
        <w:t xml:space="preserve"> </w:t>
      </w:r>
      <w:r w:rsidR="009361DA">
        <w:rPr>
          <w:iCs/>
          <w:color w:val="000000" w:themeColor="text1"/>
          <w:lang w:val="en-GB"/>
        </w:rPr>
        <w:t xml:space="preserve">enable newcomers to create an open dialogue </w:t>
      </w:r>
      <w:r>
        <w:rPr>
          <w:iCs/>
          <w:color w:val="000000" w:themeColor="text1"/>
          <w:lang w:val="en-GB"/>
        </w:rPr>
        <w:t xml:space="preserve">with university-staff </w:t>
      </w:r>
      <w:r w:rsidR="009361DA">
        <w:rPr>
          <w:iCs/>
          <w:color w:val="000000" w:themeColor="text1"/>
          <w:lang w:val="en-GB"/>
        </w:rPr>
        <w:t xml:space="preserve">on the nature and direction of </w:t>
      </w:r>
      <w:r>
        <w:rPr>
          <w:iCs/>
          <w:color w:val="000000" w:themeColor="text1"/>
          <w:lang w:val="en-GB"/>
        </w:rPr>
        <w:t>further learning, taking into account the value of their prior learning.</w:t>
      </w:r>
    </w:p>
    <w:p w:rsidR="009361DA" w:rsidRPr="009361DA" w:rsidRDefault="009361DA" w:rsidP="00A874A1">
      <w:pPr>
        <w:spacing w:after="120"/>
        <w:ind w:right="-6"/>
        <w:jc w:val="both"/>
        <w:rPr>
          <w:iCs/>
          <w:color w:val="000000" w:themeColor="text1"/>
          <w:lang w:val="en-GB"/>
        </w:rPr>
      </w:pPr>
    </w:p>
    <w:p w:rsidR="00C2103B" w:rsidRPr="0078128B" w:rsidRDefault="0078128B" w:rsidP="00A874A1">
      <w:pPr>
        <w:spacing w:after="120"/>
        <w:ind w:right="-6"/>
        <w:jc w:val="both"/>
        <w:rPr>
          <w:b/>
          <w:bCs/>
          <w:iCs/>
          <w:color w:val="000000" w:themeColor="text1"/>
          <w:sz w:val="22"/>
          <w:szCs w:val="22"/>
          <w:lang w:val="en-GB"/>
        </w:rPr>
      </w:pPr>
      <w:r w:rsidRPr="0078128B">
        <w:rPr>
          <w:b/>
          <w:bCs/>
          <w:iCs/>
          <w:color w:val="000000" w:themeColor="text1"/>
          <w:sz w:val="22"/>
          <w:szCs w:val="22"/>
          <w:lang w:val="en-GB"/>
        </w:rPr>
        <w:t xml:space="preserve">Case-study analysis of countries and individuals </w:t>
      </w:r>
    </w:p>
    <w:p w:rsidR="005A23E1" w:rsidRDefault="0078128B" w:rsidP="00A874A1">
      <w:pPr>
        <w:spacing w:after="120"/>
        <w:ind w:right="-6"/>
        <w:jc w:val="both"/>
        <w:rPr>
          <w:lang w:val="en-GB"/>
        </w:rPr>
      </w:pPr>
      <w:r w:rsidRPr="0078128B">
        <w:rPr>
          <w:lang w:val="en-GB"/>
        </w:rPr>
        <w:t>The case-study analysis investigates the phenomenon</w:t>
      </w:r>
      <w:r w:rsidR="005A23E1">
        <w:rPr>
          <w:lang w:val="en-GB"/>
        </w:rPr>
        <w:t xml:space="preserve"> of inclusion of newcomers holistically </w:t>
      </w:r>
      <w:r w:rsidRPr="0078128B">
        <w:rPr>
          <w:lang w:val="en-GB"/>
        </w:rPr>
        <w:t xml:space="preserve">from the top-down or system-perspective as well as the bottom-up or individual perspective. The system is analysed on country-level across Europe and input from 11 interviews with </w:t>
      </w:r>
      <w:r w:rsidR="009156B4">
        <w:rPr>
          <w:lang w:val="en-GB"/>
        </w:rPr>
        <w:t xml:space="preserve">university </w:t>
      </w:r>
      <w:r w:rsidRPr="0078128B">
        <w:rPr>
          <w:lang w:val="en-GB"/>
        </w:rPr>
        <w:t xml:space="preserve">staff; the analysis </w:t>
      </w:r>
      <w:r w:rsidR="009156B4">
        <w:rPr>
          <w:lang w:val="en-GB"/>
        </w:rPr>
        <w:t>on</w:t>
      </w:r>
      <w:r w:rsidRPr="0078128B">
        <w:rPr>
          <w:lang w:val="en-GB"/>
        </w:rPr>
        <w:t xml:space="preserve"> individual level is based on 43 in-depth case</w:t>
      </w:r>
      <w:r w:rsidR="009156B4">
        <w:rPr>
          <w:lang w:val="en-GB"/>
        </w:rPr>
        <w:t>s</w:t>
      </w:r>
      <w:r w:rsidRPr="0078128B">
        <w:rPr>
          <w:lang w:val="en-GB"/>
        </w:rPr>
        <w:t xml:space="preserve"> of migrants and refugees.</w:t>
      </w:r>
    </w:p>
    <w:p w:rsidR="00D07849" w:rsidRDefault="00D07849" w:rsidP="00D07849">
      <w:pPr>
        <w:spacing w:after="120"/>
        <w:ind w:right="-6"/>
        <w:jc w:val="both"/>
        <w:rPr>
          <w:rFonts w:cstheme="minorHAnsi"/>
          <w:lang w:val="en-GB"/>
        </w:rPr>
      </w:pPr>
      <w:r>
        <w:rPr>
          <w:rFonts w:cstheme="minorHAnsi"/>
          <w:lang w:val="en-GB"/>
        </w:rPr>
        <w:t>T</w:t>
      </w:r>
      <w:r w:rsidRPr="00F73473">
        <w:rPr>
          <w:rFonts w:cstheme="minorHAnsi"/>
          <w:lang w:val="en-GB"/>
        </w:rPr>
        <w:t>he focus is on higher-educated refugees and migrants since their human capital potential can be validated effectively due to the uniformity of higher education levels and standards across Europe on the one hand and the needs of Europe’s learning societies for a higher educated population on the other. The role of HEIs is not limited to helping refugees and migrants to better integrate into society; it also acts as a valuable platform for promoting social cohesion, solidarity, tolerance, diversity and human rights.</w:t>
      </w:r>
    </w:p>
    <w:p w:rsidR="0078128B" w:rsidRDefault="0078128B" w:rsidP="00A874A1">
      <w:pPr>
        <w:spacing w:after="120"/>
        <w:ind w:right="-6"/>
        <w:jc w:val="both"/>
        <w:rPr>
          <w:iCs/>
          <w:lang w:val="en-GB"/>
        </w:rPr>
      </w:pPr>
      <w:r w:rsidRPr="0078128B">
        <w:rPr>
          <w:lang w:val="en-GB"/>
        </w:rPr>
        <w:t xml:space="preserve">The main questions to be answered are </w:t>
      </w:r>
      <w:r w:rsidRPr="0078128B">
        <w:rPr>
          <w:iCs/>
          <w:lang w:val="en-GB"/>
        </w:rPr>
        <w:t>how and to what extent is VPL facilitated across Europe</w:t>
      </w:r>
      <w:r w:rsidR="00D07849">
        <w:rPr>
          <w:iCs/>
          <w:lang w:val="en-GB"/>
        </w:rPr>
        <w:t xml:space="preserve"> in HEIs</w:t>
      </w:r>
      <w:r w:rsidRPr="0078128B">
        <w:rPr>
          <w:iCs/>
          <w:lang w:val="en-GB"/>
        </w:rPr>
        <w:t xml:space="preserve"> and how is this </w:t>
      </w:r>
      <w:r w:rsidR="00D07849">
        <w:rPr>
          <w:iCs/>
          <w:lang w:val="en-GB"/>
        </w:rPr>
        <w:t>helpful for strengthening the inclusion of</w:t>
      </w:r>
      <w:r w:rsidRPr="0078128B">
        <w:rPr>
          <w:iCs/>
          <w:lang w:val="en-GB"/>
        </w:rPr>
        <w:t xml:space="preserve"> higher educated </w:t>
      </w:r>
      <w:r w:rsidR="009156B4">
        <w:rPr>
          <w:iCs/>
          <w:lang w:val="en-GB"/>
        </w:rPr>
        <w:t>newcomers</w:t>
      </w:r>
      <w:r w:rsidRPr="0078128B">
        <w:rPr>
          <w:iCs/>
          <w:lang w:val="en-GB"/>
        </w:rPr>
        <w:t>?</w:t>
      </w:r>
      <w:r w:rsidR="005A23E1">
        <w:rPr>
          <w:iCs/>
          <w:lang w:val="en-GB"/>
        </w:rPr>
        <w:t xml:space="preserve"> </w:t>
      </w:r>
      <w:r w:rsidR="009156B4">
        <w:rPr>
          <w:iCs/>
          <w:lang w:val="en-GB"/>
        </w:rPr>
        <w:t>The term ‘n</w:t>
      </w:r>
      <w:r w:rsidR="005A23E1" w:rsidRPr="009156B4">
        <w:rPr>
          <w:iCs/>
          <w:lang w:val="en-GB"/>
        </w:rPr>
        <w:t>ewcomer</w:t>
      </w:r>
      <w:r w:rsidR="009156B4">
        <w:rPr>
          <w:iCs/>
          <w:lang w:val="en-GB"/>
        </w:rPr>
        <w:t>’</w:t>
      </w:r>
      <w:r w:rsidR="005A23E1">
        <w:rPr>
          <w:iCs/>
          <w:lang w:val="en-GB"/>
        </w:rPr>
        <w:t xml:space="preserve"> cover</w:t>
      </w:r>
      <w:r w:rsidR="009156B4">
        <w:rPr>
          <w:iCs/>
          <w:lang w:val="en-GB"/>
        </w:rPr>
        <w:t xml:space="preserve">s </w:t>
      </w:r>
      <w:r w:rsidRPr="0078128B">
        <w:rPr>
          <w:i/>
          <w:iCs/>
          <w:lang w:val="en-GB"/>
        </w:rPr>
        <w:t>migrants within Europe</w:t>
      </w:r>
      <w:r w:rsidRPr="0078128B">
        <w:rPr>
          <w:iCs/>
          <w:lang w:val="en-GB"/>
        </w:rPr>
        <w:t xml:space="preserve"> and </w:t>
      </w:r>
      <w:r w:rsidRPr="0078128B">
        <w:rPr>
          <w:i/>
          <w:iCs/>
          <w:lang w:val="en-GB"/>
        </w:rPr>
        <w:t>refugees coming from outside Europe</w:t>
      </w:r>
      <w:r w:rsidRPr="0078128B">
        <w:rPr>
          <w:iCs/>
          <w:lang w:val="en-GB"/>
        </w:rPr>
        <w:t xml:space="preserve">. </w:t>
      </w:r>
      <w:r w:rsidR="005A23E1">
        <w:rPr>
          <w:iCs/>
          <w:lang w:val="en-GB"/>
        </w:rPr>
        <w:t>The</w:t>
      </w:r>
      <w:r w:rsidRPr="0078128B">
        <w:rPr>
          <w:iCs/>
          <w:lang w:val="en-GB"/>
        </w:rPr>
        <w:t xml:space="preserve"> impact</w:t>
      </w:r>
      <w:r w:rsidR="005A23E1">
        <w:rPr>
          <w:iCs/>
          <w:lang w:val="en-GB"/>
        </w:rPr>
        <w:t xml:space="preserve">-analysis centres </w:t>
      </w:r>
      <w:r w:rsidRPr="0078128B">
        <w:rPr>
          <w:iCs/>
          <w:lang w:val="en-GB"/>
        </w:rPr>
        <w:t xml:space="preserve">on their learning-, career- and life-objectives in </w:t>
      </w:r>
      <w:r w:rsidR="009156B4">
        <w:rPr>
          <w:iCs/>
          <w:lang w:val="en-GB"/>
        </w:rPr>
        <w:t>a</w:t>
      </w:r>
      <w:r w:rsidRPr="0078128B">
        <w:rPr>
          <w:iCs/>
          <w:lang w:val="en-GB"/>
        </w:rPr>
        <w:t xml:space="preserve"> new country. The objective</w:t>
      </w:r>
      <w:r w:rsidR="009156B4">
        <w:rPr>
          <w:iCs/>
          <w:lang w:val="en-GB"/>
        </w:rPr>
        <w:t>s are getting better insights in the practice</w:t>
      </w:r>
      <w:r w:rsidRPr="0078128B">
        <w:rPr>
          <w:iCs/>
          <w:lang w:val="en-GB"/>
        </w:rPr>
        <w:t xml:space="preserve"> of VPL in higher education institutes, </w:t>
      </w:r>
      <w:r w:rsidR="009156B4">
        <w:rPr>
          <w:iCs/>
          <w:lang w:val="en-GB"/>
        </w:rPr>
        <w:t>providing</w:t>
      </w:r>
      <w:r w:rsidRPr="0078128B">
        <w:rPr>
          <w:iCs/>
          <w:lang w:val="en-GB"/>
        </w:rPr>
        <w:t xml:space="preserve"> good practices and recommend</w:t>
      </w:r>
      <w:r w:rsidR="009156B4">
        <w:rPr>
          <w:iCs/>
          <w:lang w:val="en-GB"/>
        </w:rPr>
        <w:t>ing on</w:t>
      </w:r>
      <w:r w:rsidRPr="0078128B">
        <w:rPr>
          <w:iCs/>
          <w:lang w:val="en-GB"/>
        </w:rPr>
        <w:t xml:space="preserve"> how </w:t>
      </w:r>
      <w:r w:rsidR="009156B4">
        <w:rPr>
          <w:iCs/>
          <w:lang w:val="en-GB"/>
        </w:rPr>
        <w:t xml:space="preserve">to implement </w:t>
      </w:r>
      <w:r w:rsidRPr="0078128B">
        <w:rPr>
          <w:iCs/>
          <w:lang w:val="en-GB"/>
        </w:rPr>
        <w:t xml:space="preserve">VPL for </w:t>
      </w:r>
      <w:r w:rsidR="009156B4">
        <w:rPr>
          <w:iCs/>
          <w:lang w:val="en-GB"/>
        </w:rPr>
        <w:t>newcomers</w:t>
      </w:r>
      <w:r w:rsidRPr="0078128B">
        <w:rPr>
          <w:iCs/>
          <w:lang w:val="en-GB"/>
        </w:rPr>
        <w:t xml:space="preserve"> </w:t>
      </w:r>
      <w:r w:rsidR="009156B4">
        <w:rPr>
          <w:iCs/>
          <w:lang w:val="en-GB"/>
        </w:rPr>
        <w:t xml:space="preserve">more </w:t>
      </w:r>
      <w:r w:rsidRPr="0078128B">
        <w:rPr>
          <w:iCs/>
          <w:lang w:val="en-GB"/>
        </w:rPr>
        <w:t>effectively in Europe</w:t>
      </w:r>
      <w:r w:rsidRPr="0078128B">
        <w:rPr>
          <w:rFonts w:eastAsia="Helvetica" w:cs="Helvetica"/>
          <w:iCs/>
          <w:lang w:val="en-GB"/>
        </w:rPr>
        <w:t>’</w:t>
      </w:r>
      <w:r w:rsidRPr="0078128B">
        <w:rPr>
          <w:iCs/>
          <w:lang w:val="en-GB"/>
        </w:rPr>
        <w:t>s HEIs</w:t>
      </w:r>
      <w:r w:rsidR="005A23E1">
        <w:rPr>
          <w:iCs/>
          <w:lang w:val="en-GB"/>
        </w:rPr>
        <w:t>.</w:t>
      </w:r>
    </w:p>
    <w:p w:rsidR="00AD7C0C" w:rsidRDefault="00AD7C0C" w:rsidP="00A874A1">
      <w:pPr>
        <w:spacing w:after="120"/>
        <w:ind w:right="-6"/>
        <w:jc w:val="both"/>
        <w:rPr>
          <w:rFonts w:eastAsiaTheme="majorEastAsia" w:cstheme="minorHAnsi"/>
          <w:b/>
          <w:bCs/>
          <w:sz w:val="22"/>
          <w:szCs w:val="32"/>
          <w:lang w:val="en-GB"/>
        </w:rPr>
      </w:pPr>
    </w:p>
    <w:p w:rsidR="008C1E34" w:rsidRPr="008C1E34" w:rsidRDefault="008C1E34" w:rsidP="00A874A1">
      <w:pPr>
        <w:spacing w:after="120"/>
        <w:ind w:right="-6"/>
        <w:jc w:val="both"/>
        <w:rPr>
          <w:rFonts w:eastAsiaTheme="majorEastAsia" w:cstheme="minorHAnsi"/>
          <w:b/>
          <w:bCs/>
          <w:sz w:val="22"/>
          <w:szCs w:val="32"/>
          <w:lang w:val="en-GB"/>
        </w:rPr>
      </w:pPr>
      <w:r w:rsidRPr="008C1E34">
        <w:rPr>
          <w:rFonts w:eastAsiaTheme="majorEastAsia" w:cstheme="minorHAnsi"/>
          <w:b/>
          <w:bCs/>
          <w:sz w:val="22"/>
          <w:szCs w:val="32"/>
          <w:lang w:val="en-GB"/>
        </w:rPr>
        <w:t>Country-analysis</w:t>
      </w:r>
    </w:p>
    <w:p w:rsidR="00D07849" w:rsidRDefault="00D07849" w:rsidP="00D07849">
      <w:pPr>
        <w:spacing w:after="120"/>
        <w:ind w:right="-6"/>
        <w:jc w:val="both"/>
        <w:rPr>
          <w:rFonts w:cstheme="minorHAnsi"/>
          <w:lang w:val="en-GB"/>
        </w:rPr>
      </w:pPr>
      <w:r w:rsidRPr="007B7A5F">
        <w:rPr>
          <w:rFonts w:cstheme="minorHAnsi"/>
          <w:lang w:val="en-GB"/>
        </w:rPr>
        <w:t xml:space="preserve">Migrants and refugees are often prevented from enjoying their rights by legal and practical barriers. </w:t>
      </w:r>
      <w:r>
        <w:rPr>
          <w:rFonts w:cstheme="minorHAnsi"/>
          <w:lang w:val="en-GB"/>
        </w:rPr>
        <w:t>A</w:t>
      </w:r>
      <w:r w:rsidRPr="007B7A5F">
        <w:rPr>
          <w:rFonts w:cstheme="minorHAnsi"/>
          <w:lang w:val="en-GB"/>
        </w:rPr>
        <w:t xml:space="preserve"> main challenge</w:t>
      </w:r>
      <w:r>
        <w:rPr>
          <w:rFonts w:cstheme="minorHAnsi"/>
          <w:lang w:val="en-GB"/>
        </w:rPr>
        <w:t xml:space="preserve"> these </w:t>
      </w:r>
      <w:r w:rsidRPr="007B7A5F">
        <w:rPr>
          <w:rFonts w:cstheme="minorHAnsi"/>
          <w:lang w:val="en-GB"/>
        </w:rPr>
        <w:t xml:space="preserve">newcomers face is that, although they are often educated and skilled, their competences may not be recognised in </w:t>
      </w:r>
      <w:r>
        <w:rPr>
          <w:rFonts w:cstheme="minorHAnsi"/>
          <w:lang w:val="en-GB"/>
        </w:rPr>
        <w:t>the new country</w:t>
      </w:r>
      <w:r w:rsidRPr="007B7A5F">
        <w:rPr>
          <w:rFonts w:cstheme="minorHAnsi"/>
          <w:lang w:val="en-GB"/>
        </w:rPr>
        <w:t>.</w:t>
      </w:r>
      <w:r>
        <w:rPr>
          <w:rFonts w:cstheme="minorHAnsi"/>
          <w:lang w:val="en-GB"/>
        </w:rPr>
        <w:t xml:space="preserve"> T</w:t>
      </w:r>
      <w:r w:rsidRPr="007B7A5F">
        <w:rPr>
          <w:rFonts w:cstheme="minorHAnsi"/>
          <w:lang w:val="en-GB"/>
        </w:rPr>
        <w:t>heir skills and knowledge may not fit into predefined bureaucratic policies and procedures</w:t>
      </w:r>
      <w:r>
        <w:rPr>
          <w:rFonts w:cstheme="minorHAnsi"/>
          <w:lang w:val="en-GB"/>
        </w:rPr>
        <w:t>,</w:t>
      </w:r>
      <w:r w:rsidRPr="007B7A5F">
        <w:rPr>
          <w:rFonts w:cstheme="minorHAnsi"/>
          <w:lang w:val="en-GB"/>
        </w:rPr>
        <w:t xml:space="preserve"> documentation is </w:t>
      </w:r>
      <w:proofErr w:type="gramStart"/>
      <w:r w:rsidRPr="007B7A5F">
        <w:rPr>
          <w:rFonts w:cstheme="minorHAnsi"/>
          <w:lang w:val="en-GB"/>
        </w:rPr>
        <w:t>lacking</w:t>
      </w:r>
      <w:proofErr w:type="gramEnd"/>
      <w:r w:rsidRPr="007B7A5F">
        <w:rPr>
          <w:rFonts w:cstheme="minorHAnsi"/>
          <w:lang w:val="en-GB"/>
        </w:rPr>
        <w:t xml:space="preserve"> or the</w:t>
      </w:r>
      <w:r>
        <w:rPr>
          <w:rFonts w:cstheme="minorHAnsi"/>
          <w:lang w:val="en-GB"/>
        </w:rPr>
        <w:t>ir</w:t>
      </w:r>
      <w:r w:rsidRPr="007B7A5F">
        <w:rPr>
          <w:rFonts w:cstheme="minorHAnsi"/>
          <w:lang w:val="en-GB"/>
        </w:rPr>
        <w:t xml:space="preserve"> curriculum does not match certification structures in the host country.</w:t>
      </w:r>
      <w:r>
        <w:rPr>
          <w:rFonts w:cstheme="minorHAnsi"/>
          <w:lang w:val="en-GB"/>
        </w:rPr>
        <w:t xml:space="preserve"> </w:t>
      </w:r>
      <w:r w:rsidRPr="007B7A5F">
        <w:rPr>
          <w:rFonts w:cstheme="minorHAnsi"/>
          <w:lang w:val="en-GB"/>
        </w:rPr>
        <w:t xml:space="preserve">This hinders their </w:t>
      </w:r>
      <w:r w:rsidRPr="00BA64CA">
        <w:rPr>
          <w:rFonts w:cstheme="minorHAnsi"/>
          <w:lang w:val="en-GB"/>
        </w:rPr>
        <w:t>access to the labour force and</w:t>
      </w:r>
      <w:r>
        <w:rPr>
          <w:rFonts w:cstheme="minorHAnsi"/>
          <w:lang w:val="en-GB"/>
        </w:rPr>
        <w:t>/or</w:t>
      </w:r>
      <w:r w:rsidRPr="00BA64CA">
        <w:rPr>
          <w:rFonts w:cstheme="minorHAnsi"/>
          <w:lang w:val="en-GB"/>
        </w:rPr>
        <w:t xml:space="preserve"> to continuing their studies, jeopardising their chances of fully integrating.</w:t>
      </w:r>
      <w:r>
        <w:rPr>
          <w:rFonts w:cstheme="minorHAnsi"/>
          <w:lang w:val="en-GB"/>
        </w:rPr>
        <w:t xml:space="preserve"> In this perspective the VPL-process may help out.</w:t>
      </w:r>
    </w:p>
    <w:p w:rsidR="008C1E34" w:rsidRDefault="00D07849" w:rsidP="00A874A1">
      <w:pPr>
        <w:spacing w:after="120"/>
        <w:ind w:right="-6"/>
        <w:jc w:val="both"/>
        <w:rPr>
          <w:rFonts w:eastAsiaTheme="majorEastAsia" w:cstheme="minorHAnsi"/>
          <w:szCs w:val="26"/>
          <w:lang w:val="en-GB"/>
        </w:rPr>
      </w:pPr>
      <w:r>
        <w:rPr>
          <w:rFonts w:eastAsiaTheme="majorEastAsia" w:cstheme="minorHAnsi"/>
          <w:szCs w:val="26"/>
          <w:lang w:val="en-GB"/>
        </w:rPr>
        <w:t>The analysis of d</w:t>
      </w:r>
      <w:r w:rsidR="008C1E34">
        <w:rPr>
          <w:rFonts w:eastAsiaTheme="majorEastAsia" w:cstheme="minorHAnsi"/>
          <w:szCs w:val="26"/>
          <w:lang w:val="en-GB"/>
        </w:rPr>
        <w:t>ata on legislation</w:t>
      </w:r>
      <w:r w:rsidR="001329A2">
        <w:rPr>
          <w:rFonts w:eastAsiaTheme="majorEastAsia" w:cstheme="minorHAnsi"/>
          <w:szCs w:val="26"/>
          <w:lang w:val="en-GB"/>
        </w:rPr>
        <w:t>, funding</w:t>
      </w:r>
      <w:r w:rsidR="008C1E34">
        <w:rPr>
          <w:rFonts w:eastAsiaTheme="majorEastAsia" w:cstheme="minorHAnsi"/>
          <w:szCs w:val="26"/>
          <w:lang w:val="en-GB"/>
        </w:rPr>
        <w:t xml:space="preserve"> and facilities</w:t>
      </w:r>
      <w:r w:rsidR="001329A2">
        <w:rPr>
          <w:rFonts w:eastAsiaTheme="majorEastAsia" w:cstheme="minorHAnsi"/>
          <w:szCs w:val="26"/>
          <w:lang w:val="en-GB"/>
        </w:rPr>
        <w:t xml:space="preserve"> (information-provision, professional staff),</w:t>
      </w:r>
      <w:r w:rsidR="008C1E34">
        <w:rPr>
          <w:rFonts w:eastAsiaTheme="majorEastAsia" w:cstheme="minorHAnsi"/>
          <w:szCs w:val="26"/>
          <w:lang w:val="en-GB"/>
        </w:rPr>
        <w:t xml:space="preserve"> favouring VPL as an entry-point for newcomers in HEIs </w:t>
      </w:r>
      <w:r>
        <w:rPr>
          <w:rFonts w:eastAsiaTheme="majorEastAsia" w:cstheme="minorHAnsi"/>
          <w:szCs w:val="26"/>
          <w:lang w:val="en-GB"/>
        </w:rPr>
        <w:t>from</w:t>
      </w:r>
      <w:r w:rsidR="008C1E34">
        <w:rPr>
          <w:rFonts w:eastAsiaTheme="majorEastAsia" w:cstheme="minorHAnsi"/>
          <w:szCs w:val="26"/>
          <w:lang w:val="en-GB"/>
        </w:rPr>
        <w:t xml:space="preserve"> 37 country le</w:t>
      </w:r>
      <w:r>
        <w:rPr>
          <w:rFonts w:eastAsiaTheme="majorEastAsia" w:cstheme="minorHAnsi"/>
          <w:szCs w:val="26"/>
          <w:lang w:val="en-GB"/>
        </w:rPr>
        <w:t>a</w:t>
      </w:r>
      <w:r w:rsidR="008C1E34">
        <w:rPr>
          <w:rFonts w:eastAsiaTheme="majorEastAsia" w:cstheme="minorHAnsi"/>
          <w:szCs w:val="26"/>
          <w:lang w:val="en-GB"/>
        </w:rPr>
        <w:t>d</w:t>
      </w:r>
      <w:r>
        <w:rPr>
          <w:rFonts w:eastAsiaTheme="majorEastAsia" w:cstheme="minorHAnsi"/>
          <w:szCs w:val="26"/>
          <w:lang w:val="en-GB"/>
        </w:rPr>
        <w:t>s</w:t>
      </w:r>
      <w:r w:rsidR="008C1E34">
        <w:rPr>
          <w:rFonts w:eastAsiaTheme="majorEastAsia" w:cstheme="minorHAnsi"/>
          <w:szCs w:val="26"/>
          <w:lang w:val="en-GB"/>
        </w:rPr>
        <w:t xml:space="preserve"> to a grouping of 4 prevailing </w:t>
      </w:r>
      <w:r>
        <w:rPr>
          <w:rFonts w:eastAsiaTheme="majorEastAsia" w:cstheme="minorHAnsi"/>
          <w:szCs w:val="26"/>
          <w:lang w:val="en-GB"/>
        </w:rPr>
        <w:t>country-</w:t>
      </w:r>
      <w:r w:rsidR="008C1E34">
        <w:rPr>
          <w:rFonts w:eastAsiaTheme="majorEastAsia" w:cstheme="minorHAnsi"/>
          <w:szCs w:val="26"/>
          <w:lang w:val="en-GB"/>
        </w:rPr>
        <w:t xml:space="preserve">systems in which the five phases of the VPL-process are applied, ranging from </w:t>
      </w:r>
      <w:r w:rsidR="008C1E34" w:rsidRPr="0006797A">
        <w:rPr>
          <w:rFonts w:eastAsiaTheme="majorEastAsia" w:cstheme="minorHAnsi"/>
          <w:i/>
          <w:szCs w:val="26"/>
          <w:lang w:val="en-GB"/>
        </w:rPr>
        <w:t>broadly</w:t>
      </w:r>
      <w:r w:rsidR="008C1E34">
        <w:rPr>
          <w:rFonts w:eastAsiaTheme="majorEastAsia" w:cstheme="minorHAnsi"/>
          <w:szCs w:val="26"/>
          <w:lang w:val="en-GB"/>
        </w:rPr>
        <w:t xml:space="preserve"> applied to </w:t>
      </w:r>
      <w:r w:rsidR="008C1E34" w:rsidRPr="0006797A">
        <w:rPr>
          <w:rFonts w:eastAsiaTheme="majorEastAsia" w:cstheme="minorHAnsi"/>
          <w:i/>
          <w:szCs w:val="26"/>
          <w:lang w:val="en-GB"/>
        </w:rPr>
        <w:t>marginally</w:t>
      </w:r>
      <w:r w:rsidR="008C1E34">
        <w:rPr>
          <w:rFonts w:eastAsiaTheme="majorEastAsia" w:cstheme="minorHAnsi"/>
          <w:i/>
          <w:szCs w:val="26"/>
          <w:lang w:val="en-GB"/>
        </w:rPr>
        <w:t xml:space="preserve"> or none</w:t>
      </w:r>
      <w:r w:rsidR="008C1E34">
        <w:rPr>
          <w:rFonts w:eastAsiaTheme="majorEastAsia" w:cstheme="minorHAnsi"/>
          <w:szCs w:val="26"/>
          <w:lang w:val="en-GB"/>
        </w:rPr>
        <w:t>:</w:t>
      </w:r>
    </w:p>
    <w:p w:rsidR="008C1E34" w:rsidRPr="00CA78D6" w:rsidRDefault="00E95367" w:rsidP="00A874A1">
      <w:pPr>
        <w:shd w:val="clear" w:color="auto" w:fill="FFFFFF" w:themeFill="background1"/>
        <w:spacing w:after="120"/>
        <w:ind w:right="-6"/>
        <w:jc w:val="both"/>
        <w:rPr>
          <w:rFonts w:eastAsiaTheme="majorEastAsia" w:cstheme="minorHAnsi"/>
          <w:szCs w:val="26"/>
          <w:lang w:val="en-GB"/>
        </w:rPr>
      </w:pPr>
      <w:r>
        <w:rPr>
          <w:rFonts w:eastAsiaTheme="majorEastAsia" w:cstheme="minorHAnsi"/>
          <w:b/>
          <w:color w:val="FFFFFF" w:themeColor="background1"/>
          <w:szCs w:val="26"/>
          <w:highlight w:val="red"/>
          <w:shd w:val="clear" w:color="auto" w:fill="FFFFFF" w:themeFill="background1"/>
          <w:lang w:val="en-GB"/>
        </w:rPr>
        <w:lastRenderedPageBreak/>
        <w:t>The RED g</w:t>
      </w:r>
      <w:r w:rsidR="008C1E34" w:rsidRPr="00AD7C0C">
        <w:rPr>
          <w:rFonts w:eastAsiaTheme="majorEastAsia" w:cstheme="minorHAnsi"/>
          <w:b/>
          <w:color w:val="FFFFFF" w:themeColor="background1"/>
          <w:szCs w:val="26"/>
          <w:highlight w:val="red"/>
          <w:shd w:val="clear" w:color="auto" w:fill="FFFFFF" w:themeFill="background1"/>
          <w:lang w:val="en-GB"/>
        </w:rPr>
        <w:t>roup</w:t>
      </w:r>
      <w:r>
        <w:rPr>
          <w:rFonts w:eastAsiaTheme="majorEastAsia" w:cstheme="minorHAnsi"/>
          <w:b/>
          <w:color w:val="FFFFFF" w:themeColor="background1"/>
          <w:szCs w:val="26"/>
          <w:shd w:val="clear" w:color="auto" w:fill="FFFFFF" w:themeFill="background1"/>
          <w:lang w:val="en-GB"/>
        </w:rPr>
        <w:t>,</w:t>
      </w:r>
      <w:r w:rsidR="008C1E34" w:rsidRPr="00AD7C0C">
        <w:rPr>
          <w:rFonts w:eastAsiaTheme="majorEastAsia" w:cstheme="minorHAnsi"/>
          <w:color w:val="FFFFFF" w:themeColor="background1"/>
          <w:szCs w:val="26"/>
          <w:shd w:val="clear" w:color="auto" w:fill="FFFFFF" w:themeFill="background1"/>
          <w:lang w:val="en-GB"/>
        </w:rPr>
        <w:t xml:space="preserve"> </w:t>
      </w:r>
      <w:r w:rsidR="00927DF4">
        <w:rPr>
          <w:rFonts w:eastAsiaTheme="majorEastAsia" w:cstheme="minorHAnsi"/>
          <w:color w:val="000000" w:themeColor="text1"/>
          <w:szCs w:val="26"/>
          <w:shd w:val="clear" w:color="auto" w:fill="FFFFFF" w:themeFill="background1"/>
          <w:lang w:val="en-GB"/>
        </w:rPr>
        <w:t>is</w:t>
      </w:r>
      <w:r w:rsidR="008C1E34">
        <w:rPr>
          <w:rFonts w:eastAsiaTheme="majorEastAsia" w:cstheme="minorHAnsi"/>
          <w:szCs w:val="26"/>
          <w:lang w:val="en-GB"/>
        </w:rPr>
        <w:t xml:space="preserve"> countries having (1) a favourable</w:t>
      </w:r>
      <w:r w:rsidR="00927DF4">
        <w:rPr>
          <w:rFonts w:eastAsiaTheme="majorEastAsia" w:cstheme="minorHAnsi"/>
          <w:szCs w:val="26"/>
          <w:lang w:val="en-GB"/>
        </w:rPr>
        <w:t xml:space="preserve"> national</w:t>
      </w:r>
      <w:r w:rsidR="008C1E34">
        <w:rPr>
          <w:rFonts w:eastAsiaTheme="majorEastAsia" w:cstheme="minorHAnsi"/>
          <w:szCs w:val="26"/>
          <w:lang w:val="en-GB"/>
        </w:rPr>
        <w:t xml:space="preserve"> legal framework for applying VPL, (2) operationalised VPL in HEIs, tak</w:t>
      </w:r>
      <w:r w:rsidR="00927DF4">
        <w:rPr>
          <w:rFonts w:eastAsiaTheme="majorEastAsia" w:cstheme="minorHAnsi"/>
          <w:szCs w:val="26"/>
          <w:lang w:val="en-GB"/>
        </w:rPr>
        <w:t>ing</w:t>
      </w:r>
      <w:r w:rsidR="008C1E34">
        <w:rPr>
          <w:rFonts w:eastAsiaTheme="majorEastAsia" w:cstheme="minorHAnsi"/>
          <w:szCs w:val="26"/>
          <w:lang w:val="en-GB"/>
        </w:rPr>
        <w:t xml:space="preserve"> care of </w:t>
      </w:r>
      <w:r w:rsidR="008C1E34">
        <w:rPr>
          <w:rFonts w:cstheme="minorHAnsi"/>
          <w:lang w:val="en-US"/>
        </w:rPr>
        <w:t xml:space="preserve">prior formal, non-formal AND informal </w:t>
      </w:r>
      <w:r w:rsidR="00927DF4">
        <w:rPr>
          <w:rFonts w:cstheme="minorHAnsi"/>
          <w:lang w:val="en-US"/>
        </w:rPr>
        <w:t>learning experiences</w:t>
      </w:r>
      <w:r w:rsidR="008C1E34">
        <w:rPr>
          <w:rFonts w:cstheme="minorHAnsi"/>
          <w:lang w:val="en-US"/>
        </w:rPr>
        <w:t>, (3) funding on nation</w:t>
      </w:r>
      <w:r w:rsidR="00927DF4">
        <w:rPr>
          <w:rFonts w:cstheme="minorHAnsi"/>
          <w:lang w:val="en-US"/>
        </w:rPr>
        <w:t>al</w:t>
      </w:r>
      <w:r w:rsidR="008C1E34">
        <w:rPr>
          <w:rFonts w:cstheme="minorHAnsi"/>
          <w:lang w:val="en-US"/>
        </w:rPr>
        <w:t xml:space="preserve"> AND sector and/or NGO levels and (4) opportunities for anchoring outcomes of VPL </w:t>
      </w:r>
      <w:r w:rsidR="00927DF4">
        <w:rPr>
          <w:rFonts w:cstheme="minorHAnsi"/>
          <w:lang w:val="en-US"/>
        </w:rPr>
        <w:t>in career-perspectives</w:t>
      </w:r>
      <w:r w:rsidR="008C1E34">
        <w:rPr>
          <w:rFonts w:cstheme="minorHAnsi"/>
          <w:lang w:val="en-US"/>
        </w:rPr>
        <w:t xml:space="preserve"> in HE, </w:t>
      </w:r>
      <w:r w:rsidR="008C1E34">
        <w:rPr>
          <w:rFonts w:eastAsiaTheme="majorEastAsia" w:cstheme="minorHAnsi"/>
          <w:szCs w:val="26"/>
          <w:lang w:val="en-GB"/>
        </w:rPr>
        <w:t xml:space="preserve">labour market AND third sector. </w:t>
      </w:r>
      <w:r w:rsidR="00927DF4">
        <w:rPr>
          <w:rFonts w:eastAsiaTheme="majorEastAsia" w:cstheme="minorHAnsi"/>
          <w:szCs w:val="26"/>
          <w:lang w:val="en-GB"/>
        </w:rPr>
        <w:t>G</w:t>
      </w:r>
      <w:r w:rsidR="008C1E34" w:rsidRPr="00CA78D6">
        <w:rPr>
          <w:rFonts w:eastAsiaTheme="majorEastAsia" w:cstheme="minorHAnsi"/>
          <w:szCs w:val="26"/>
          <w:lang w:val="en-GB"/>
        </w:rPr>
        <w:t xml:space="preserve">roup 1 </w:t>
      </w:r>
      <w:r w:rsidR="00927DF4">
        <w:rPr>
          <w:rFonts w:eastAsiaTheme="majorEastAsia" w:cstheme="minorHAnsi"/>
          <w:szCs w:val="26"/>
          <w:lang w:val="en-GB"/>
        </w:rPr>
        <w:t>is</w:t>
      </w:r>
      <w:r w:rsidR="008C1E34" w:rsidRPr="00CA78D6">
        <w:rPr>
          <w:rFonts w:eastAsiaTheme="majorEastAsia" w:cstheme="minorHAnsi"/>
          <w:szCs w:val="26"/>
          <w:lang w:val="en-GB"/>
        </w:rPr>
        <w:t xml:space="preserve"> </w:t>
      </w:r>
      <w:r w:rsidR="008C1E34">
        <w:rPr>
          <w:rFonts w:eastAsiaTheme="majorEastAsia" w:cstheme="minorHAnsi"/>
          <w:szCs w:val="26"/>
          <w:lang w:val="en-GB"/>
        </w:rPr>
        <w:t xml:space="preserve">mainly </w:t>
      </w:r>
      <w:r w:rsidR="008C1E34" w:rsidRPr="00CA78D6">
        <w:rPr>
          <w:rFonts w:eastAsiaTheme="majorEastAsia" w:cstheme="minorHAnsi"/>
          <w:szCs w:val="26"/>
          <w:lang w:val="en-GB"/>
        </w:rPr>
        <w:t>situated in north and north-west Europe: Belg</w:t>
      </w:r>
      <w:r w:rsidR="008C1E34">
        <w:rPr>
          <w:rFonts w:eastAsiaTheme="majorEastAsia" w:cstheme="minorHAnsi"/>
          <w:szCs w:val="26"/>
          <w:lang w:val="en-GB"/>
        </w:rPr>
        <w:t>ium, Denmark</w:t>
      </w:r>
      <w:r w:rsidR="008C1E34" w:rsidRPr="00CA78D6">
        <w:rPr>
          <w:rFonts w:eastAsiaTheme="majorEastAsia" w:cstheme="minorHAnsi"/>
          <w:szCs w:val="26"/>
          <w:lang w:val="en-GB"/>
        </w:rPr>
        <w:t>, Finland</w:t>
      </w:r>
      <w:r w:rsidR="008C1E34">
        <w:rPr>
          <w:rFonts w:eastAsiaTheme="majorEastAsia" w:cstheme="minorHAnsi"/>
          <w:szCs w:val="26"/>
          <w:lang w:val="en-GB"/>
        </w:rPr>
        <w:t xml:space="preserve">, France, Iceland, Luxemburg, Netherlands, Norway, Sweden </w:t>
      </w:r>
      <w:r w:rsidR="008C1E34" w:rsidRPr="00CA78D6">
        <w:rPr>
          <w:rFonts w:eastAsiaTheme="majorEastAsia" w:cstheme="minorHAnsi"/>
          <w:szCs w:val="26"/>
          <w:lang w:val="en-GB"/>
        </w:rPr>
        <w:t>and Switzerland</w:t>
      </w:r>
      <w:r w:rsidR="008C1E34">
        <w:rPr>
          <w:rFonts w:eastAsiaTheme="majorEastAsia" w:cstheme="minorHAnsi"/>
          <w:szCs w:val="26"/>
          <w:lang w:val="en-GB"/>
        </w:rPr>
        <w:t>.</w:t>
      </w:r>
    </w:p>
    <w:p w:rsidR="008C1E34" w:rsidRPr="00AD7C0C" w:rsidRDefault="00E95367" w:rsidP="00A874A1">
      <w:pPr>
        <w:shd w:val="clear" w:color="auto" w:fill="FFFFFF" w:themeFill="background1"/>
        <w:spacing w:after="120"/>
        <w:ind w:right="-6"/>
        <w:jc w:val="both"/>
        <w:rPr>
          <w:rFonts w:eastAsiaTheme="majorEastAsia" w:cstheme="minorHAnsi"/>
          <w:szCs w:val="26"/>
          <w:lang w:val="en-GB"/>
        </w:rPr>
      </w:pPr>
      <w:r>
        <w:rPr>
          <w:rFonts w:eastAsiaTheme="majorEastAsia" w:cstheme="minorHAnsi"/>
          <w:b/>
          <w:color w:val="000000" w:themeColor="text1"/>
          <w:szCs w:val="26"/>
          <w:highlight w:val="yellow"/>
          <w:shd w:val="clear" w:color="auto" w:fill="FFFFFF" w:themeFill="background1"/>
          <w:lang w:val="en-GB"/>
        </w:rPr>
        <w:t>The YELLOW g</w:t>
      </w:r>
      <w:r w:rsidR="008C1E34" w:rsidRPr="00AD7C0C">
        <w:rPr>
          <w:rFonts w:eastAsiaTheme="majorEastAsia" w:cstheme="minorHAnsi"/>
          <w:b/>
          <w:color w:val="000000" w:themeColor="text1"/>
          <w:szCs w:val="26"/>
          <w:highlight w:val="yellow"/>
          <w:shd w:val="clear" w:color="auto" w:fill="FFFFFF" w:themeFill="background1"/>
          <w:lang w:val="en-GB"/>
        </w:rPr>
        <w:t>roup</w:t>
      </w:r>
      <w:r w:rsidR="008C1E34" w:rsidRPr="00122684">
        <w:rPr>
          <w:rFonts w:eastAsiaTheme="majorEastAsia" w:cstheme="minorHAnsi"/>
          <w:color w:val="FFC000"/>
          <w:szCs w:val="26"/>
          <w:shd w:val="clear" w:color="auto" w:fill="FFFFFF" w:themeFill="background1"/>
          <w:lang w:val="en-GB"/>
        </w:rPr>
        <w:t xml:space="preserve"> </w:t>
      </w:r>
      <w:r w:rsidR="008C1E34" w:rsidRPr="00E56B90">
        <w:rPr>
          <w:rFonts w:eastAsiaTheme="majorEastAsia" w:cstheme="minorHAnsi"/>
          <w:szCs w:val="26"/>
          <w:shd w:val="clear" w:color="auto" w:fill="FFFFFF" w:themeFill="background1"/>
          <w:lang w:val="en-GB"/>
        </w:rPr>
        <w:t>consists</w:t>
      </w:r>
      <w:r w:rsidR="008C1E34">
        <w:rPr>
          <w:rFonts w:eastAsiaTheme="majorEastAsia" w:cstheme="minorHAnsi"/>
          <w:szCs w:val="26"/>
          <w:lang w:val="en-GB"/>
        </w:rPr>
        <w:t xml:space="preserve"> of countries having (1) a favourable </w:t>
      </w:r>
      <w:r w:rsidR="00927DF4">
        <w:rPr>
          <w:rFonts w:eastAsiaTheme="majorEastAsia" w:cstheme="minorHAnsi"/>
          <w:szCs w:val="26"/>
          <w:lang w:val="en-GB"/>
        </w:rPr>
        <w:t xml:space="preserve">national </w:t>
      </w:r>
      <w:r w:rsidR="008C1E34">
        <w:rPr>
          <w:rFonts w:eastAsiaTheme="majorEastAsia" w:cstheme="minorHAnsi"/>
          <w:szCs w:val="26"/>
          <w:lang w:val="en-GB"/>
        </w:rPr>
        <w:t>legal framework for applying VPL, (2) operationalised VPL in HEIs,</w:t>
      </w:r>
      <w:r w:rsidR="00927DF4">
        <w:rPr>
          <w:rFonts w:eastAsiaTheme="majorEastAsia" w:cstheme="minorHAnsi"/>
          <w:szCs w:val="26"/>
          <w:lang w:val="en-GB"/>
        </w:rPr>
        <w:t xml:space="preserve"> taking care of </w:t>
      </w:r>
      <w:r w:rsidR="00927DF4">
        <w:rPr>
          <w:rFonts w:cstheme="minorHAnsi"/>
          <w:lang w:val="en-US"/>
        </w:rPr>
        <w:t>prior formal, non-formal AND informal learning experiences</w:t>
      </w:r>
      <w:r w:rsidR="008C1E34">
        <w:rPr>
          <w:rFonts w:cstheme="minorHAnsi"/>
          <w:lang w:val="en-US"/>
        </w:rPr>
        <w:t xml:space="preserve">, (3) funding on national OR sector and/or NGO levels and (4) opportunities for anchoring outcomes of VPL </w:t>
      </w:r>
      <w:r w:rsidR="00927DF4">
        <w:rPr>
          <w:rFonts w:cstheme="minorHAnsi"/>
          <w:lang w:val="en-US"/>
        </w:rPr>
        <w:t xml:space="preserve">in two of the systems in </w:t>
      </w:r>
      <w:r w:rsidR="008C1E34">
        <w:rPr>
          <w:rFonts w:cstheme="minorHAnsi"/>
          <w:lang w:val="en-US"/>
        </w:rPr>
        <w:t xml:space="preserve"> HE,</w:t>
      </w:r>
      <w:r w:rsidR="008C1E34">
        <w:rPr>
          <w:rFonts w:eastAsiaTheme="majorEastAsia" w:cstheme="minorHAnsi"/>
          <w:szCs w:val="26"/>
          <w:lang w:val="en-GB"/>
        </w:rPr>
        <w:t xml:space="preserve"> labour market OR third sector. </w:t>
      </w:r>
      <w:r w:rsidR="008C1E34" w:rsidRPr="00CA78D6">
        <w:rPr>
          <w:rFonts w:eastAsiaTheme="majorEastAsia" w:cstheme="minorHAnsi"/>
          <w:szCs w:val="26"/>
          <w:lang w:val="en-GB"/>
        </w:rPr>
        <w:t xml:space="preserve">Group 2 </w:t>
      </w:r>
      <w:r w:rsidR="00927DF4">
        <w:rPr>
          <w:rFonts w:eastAsiaTheme="majorEastAsia" w:cstheme="minorHAnsi"/>
          <w:szCs w:val="26"/>
          <w:lang w:val="en-GB"/>
        </w:rPr>
        <w:t>is</w:t>
      </w:r>
      <w:r w:rsidR="008C1E34" w:rsidRPr="00AD7C0C">
        <w:rPr>
          <w:rFonts w:eastAsiaTheme="majorEastAsia" w:cstheme="minorHAnsi"/>
          <w:szCs w:val="26"/>
          <w:lang w:val="en-GB"/>
        </w:rPr>
        <w:t xml:space="preserve"> spread across north-west, south and central Europe: Czech Republic, Germany, Ireland, Italy, Portugal, Spain, Turkey and United Kingdom.</w:t>
      </w:r>
    </w:p>
    <w:p w:rsidR="008C1E34" w:rsidRPr="00AD7C0C" w:rsidRDefault="00E95367" w:rsidP="00A874A1">
      <w:pPr>
        <w:shd w:val="clear" w:color="auto" w:fill="FFFFFF" w:themeFill="background1"/>
        <w:spacing w:after="120"/>
        <w:ind w:right="-6"/>
        <w:jc w:val="both"/>
        <w:rPr>
          <w:rFonts w:eastAsiaTheme="majorEastAsia" w:cstheme="minorHAnsi"/>
          <w:szCs w:val="26"/>
          <w:lang w:val="en-GB"/>
        </w:rPr>
      </w:pPr>
      <w:r>
        <w:rPr>
          <w:rFonts w:eastAsiaTheme="majorEastAsia" w:cstheme="minorHAnsi"/>
          <w:b/>
          <w:color w:val="FFFFFF" w:themeColor="background1"/>
          <w:szCs w:val="26"/>
          <w:shd w:val="clear" w:color="auto" w:fill="00B050"/>
          <w:lang w:val="en-GB"/>
        </w:rPr>
        <w:t>The GREEN group</w:t>
      </w:r>
      <w:r w:rsidR="008C1E34" w:rsidRPr="00AD7C0C">
        <w:rPr>
          <w:rFonts w:eastAsiaTheme="majorEastAsia" w:cstheme="minorHAnsi"/>
          <w:szCs w:val="26"/>
          <w:lang w:val="en-GB"/>
        </w:rPr>
        <w:t xml:space="preserve"> </w:t>
      </w:r>
      <w:r w:rsidR="00927DF4">
        <w:rPr>
          <w:rFonts w:eastAsiaTheme="majorEastAsia" w:cstheme="minorHAnsi"/>
          <w:szCs w:val="26"/>
          <w:lang w:val="en-GB"/>
        </w:rPr>
        <w:t>holds</w:t>
      </w:r>
      <w:r w:rsidR="008C1E34" w:rsidRPr="00AD7C0C">
        <w:rPr>
          <w:rFonts w:eastAsiaTheme="majorEastAsia" w:cstheme="minorHAnsi"/>
          <w:szCs w:val="26"/>
          <w:lang w:val="en-GB"/>
        </w:rPr>
        <w:t xml:space="preserve"> countries having (1) a favourable </w:t>
      </w:r>
      <w:r w:rsidR="00927DF4">
        <w:rPr>
          <w:rFonts w:eastAsiaTheme="majorEastAsia" w:cstheme="minorHAnsi"/>
          <w:szCs w:val="26"/>
          <w:lang w:val="en-GB"/>
        </w:rPr>
        <w:t xml:space="preserve">national </w:t>
      </w:r>
      <w:r w:rsidR="008C1E34" w:rsidRPr="00AD7C0C">
        <w:rPr>
          <w:rFonts w:eastAsiaTheme="majorEastAsia" w:cstheme="minorHAnsi"/>
          <w:szCs w:val="26"/>
          <w:lang w:val="en-GB"/>
        </w:rPr>
        <w:t xml:space="preserve">legal framework for applying VPL, (2) operationalised VPL in HEIs, </w:t>
      </w:r>
      <w:r w:rsidR="00927DF4">
        <w:rPr>
          <w:rFonts w:eastAsiaTheme="majorEastAsia" w:cstheme="minorHAnsi"/>
          <w:szCs w:val="26"/>
          <w:lang w:val="en-GB"/>
        </w:rPr>
        <w:t>only taking</w:t>
      </w:r>
      <w:r w:rsidR="008C1E34" w:rsidRPr="00AD7C0C">
        <w:rPr>
          <w:rFonts w:eastAsiaTheme="majorEastAsia" w:cstheme="minorHAnsi"/>
          <w:szCs w:val="26"/>
          <w:lang w:val="en-GB"/>
        </w:rPr>
        <w:t xml:space="preserve"> care of </w:t>
      </w:r>
      <w:r w:rsidR="00927DF4">
        <w:rPr>
          <w:rFonts w:eastAsiaTheme="majorEastAsia" w:cstheme="minorHAnsi"/>
          <w:szCs w:val="26"/>
          <w:lang w:val="en-GB"/>
        </w:rPr>
        <w:t xml:space="preserve">FORMAL </w:t>
      </w:r>
      <w:r w:rsidR="008C1E34" w:rsidRPr="00AD7C0C">
        <w:rPr>
          <w:rFonts w:cstheme="minorHAnsi"/>
          <w:lang w:val="en-US"/>
        </w:rPr>
        <w:t xml:space="preserve">prior learning experiences, (3) funding only on national level and (4) opportunities for anchoring </w:t>
      </w:r>
      <w:r w:rsidR="00927DF4">
        <w:rPr>
          <w:rFonts w:cstheme="minorHAnsi"/>
          <w:lang w:val="en-US"/>
        </w:rPr>
        <w:t>VPL-</w:t>
      </w:r>
      <w:r w:rsidR="008C1E34" w:rsidRPr="00AD7C0C">
        <w:rPr>
          <w:rFonts w:cstheme="minorHAnsi"/>
          <w:lang w:val="en-US"/>
        </w:rPr>
        <w:t>outcomes to only one of the systems in HE,</w:t>
      </w:r>
      <w:r w:rsidR="008C1E34" w:rsidRPr="00AD7C0C">
        <w:rPr>
          <w:rFonts w:eastAsiaTheme="majorEastAsia" w:cstheme="minorHAnsi"/>
          <w:szCs w:val="26"/>
          <w:lang w:val="en-GB"/>
        </w:rPr>
        <w:t xml:space="preserve"> labour market OR third sector. Group 3</w:t>
      </w:r>
      <w:r>
        <w:rPr>
          <w:rFonts w:eastAsiaTheme="majorEastAsia" w:cstheme="minorHAnsi"/>
          <w:szCs w:val="26"/>
          <w:lang w:val="en-GB"/>
        </w:rPr>
        <w:t xml:space="preserve"> is</w:t>
      </w:r>
      <w:r w:rsidR="008C1E34" w:rsidRPr="00AD7C0C">
        <w:rPr>
          <w:rFonts w:eastAsiaTheme="majorEastAsia" w:cstheme="minorHAnsi"/>
          <w:szCs w:val="26"/>
          <w:lang w:val="en-GB"/>
        </w:rPr>
        <w:t xml:space="preserve"> Austria, Baltic States, Cyprus, Greece, Liechtenstein, Malta, Poland, Romania and Slovenia.</w:t>
      </w:r>
    </w:p>
    <w:p w:rsidR="008C1E34" w:rsidRDefault="00E95367" w:rsidP="00A874A1">
      <w:pPr>
        <w:shd w:val="clear" w:color="auto" w:fill="FFFFFF" w:themeFill="background1"/>
        <w:spacing w:after="120"/>
        <w:ind w:right="-6"/>
        <w:jc w:val="both"/>
        <w:rPr>
          <w:rFonts w:eastAsiaTheme="majorEastAsia" w:cstheme="minorHAnsi"/>
          <w:szCs w:val="26"/>
          <w:lang w:val="en-GB"/>
        </w:rPr>
      </w:pPr>
      <w:r>
        <w:rPr>
          <w:rFonts w:eastAsiaTheme="majorEastAsia" w:cstheme="minorHAnsi"/>
          <w:b/>
          <w:color w:val="FFFFFF" w:themeColor="background1"/>
          <w:szCs w:val="26"/>
          <w:highlight w:val="blue"/>
          <w:lang w:val="en-GB"/>
        </w:rPr>
        <w:t>The BLUE group</w:t>
      </w:r>
      <w:r w:rsidR="008C1E34" w:rsidRPr="00AD7C0C">
        <w:rPr>
          <w:rFonts w:eastAsiaTheme="majorEastAsia" w:cstheme="minorHAnsi"/>
          <w:szCs w:val="26"/>
          <w:lang w:val="en-GB"/>
        </w:rPr>
        <w:t xml:space="preserve"> </w:t>
      </w:r>
      <w:r w:rsidR="00927DF4">
        <w:rPr>
          <w:rFonts w:eastAsiaTheme="majorEastAsia" w:cstheme="minorHAnsi"/>
          <w:szCs w:val="26"/>
          <w:lang w:val="en-GB"/>
        </w:rPr>
        <w:t>is</w:t>
      </w:r>
      <w:r w:rsidR="008C1E34" w:rsidRPr="00AD7C0C">
        <w:rPr>
          <w:rFonts w:eastAsiaTheme="majorEastAsia" w:cstheme="minorHAnsi"/>
          <w:szCs w:val="26"/>
          <w:lang w:val="en-GB"/>
        </w:rPr>
        <w:t xml:space="preserve"> countries having (1) no favourable</w:t>
      </w:r>
      <w:r w:rsidR="00927DF4">
        <w:rPr>
          <w:rFonts w:eastAsiaTheme="majorEastAsia" w:cstheme="minorHAnsi"/>
          <w:szCs w:val="26"/>
          <w:lang w:val="en-GB"/>
        </w:rPr>
        <w:t xml:space="preserve"> national</w:t>
      </w:r>
      <w:r w:rsidR="008C1E34" w:rsidRPr="00AD7C0C">
        <w:rPr>
          <w:rFonts w:eastAsiaTheme="majorEastAsia" w:cstheme="minorHAnsi"/>
          <w:szCs w:val="26"/>
          <w:lang w:val="en-GB"/>
        </w:rPr>
        <w:t xml:space="preserve"> legal framework</w:t>
      </w:r>
      <w:r w:rsidR="00927DF4">
        <w:rPr>
          <w:rFonts w:eastAsiaTheme="majorEastAsia" w:cstheme="minorHAnsi"/>
          <w:szCs w:val="26"/>
          <w:lang w:val="en-GB"/>
        </w:rPr>
        <w:t xml:space="preserve"> for applying VPL</w:t>
      </w:r>
      <w:r w:rsidR="008C1E34" w:rsidRPr="00AD7C0C">
        <w:rPr>
          <w:rFonts w:eastAsiaTheme="majorEastAsia" w:cstheme="minorHAnsi"/>
          <w:szCs w:val="26"/>
          <w:lang w:val="en-GB"/>
        </w:rPr>
        <w:t xml:space="preserve">, (2) no operationalised VPL in HEIs, </w:t>
      </w:r>
      <w:r w:rsidR="008C1E34" w:rsidRPr="00AD7C0C">
        <w:rPr>
          <w:rFonts w:cstheme="minorHAnsi"/>
          <w:lang w:val="en-US"/>
        </w:rPr>
        <w:t>(3) no funding</w:t>
      </w:r>
      <w:r w:rsidR="008C1E34">
        <w:rPr>
          <w:rFonts w:cstheme="minorHAnsi"/>
          <w:lang w:val="en-US"/>
        </w:rPr>
        <w:t xml:space="preserve"> available whatsoever, and (4) no opportunities for anchoring outcomes of VPL </w:t>
      </w:r>
      <w:r>
        <w:rPr>
          <w:rFonts w:cstheme="minorHAnsi"/>
          <w:lang w:val="en-US"/>
        </w:rPr>
        <w:t>any</w:t>
      </w:r>
      <w:r w:rsidR="008C1E34">
        <w:rPr>
          <w:rFonts w:cstheme="minorHAnsi"/>
          <w:lang w:val="en-US"/>
        </w:rPr>
        <w:t xml:space="preserve"> system in HE,</w:t>
      </w:r>
      <w:r w:rsidR="008C1E34">
        <w:rPr>
          <w:rFonts w:eastAsiaTheme="majorEastAsia" w:cstheme="minorHAnsi"/>
          <w:szCs w:val="26"/>
          <w:lang w:val="en-GB"/>
        </w:rPr>
        <w:t xml:space="preserve"> labour market or third sector. Countries: Bulgaria, Croatia, Hungary, Slovakia and Russia.</w:t>
      </w:r>
    </w:p>
    <w:p w:rsidR="008C1E34" w:rsidRDefault="008C1E34" w:rsidP="00A874A1">
      <w:pPr>
        <w:spacing w:after="120"/>
        <w:ind w:right="-6"/>
        <w:jc w:val="center"/>
        <w:rPr>
          <w:b/>
          <w:bCs/>
          <w:i/>
          <w:iCs/>
          <w:lang w:val="en-GB"/>
        </w:rPr>
      </w:pPr>
      <w:r w:rsidRPr="008C1E34">
        <w:rPr>
          <w:b/>
          <w:bCs/>
          <w:i/>
          <w:iCs/>
          <w:lang w:val="en-GB"/>
        </w:rPr>
        <w:t xml:space="preserve">VPL-application in </w:t>
      </w:r>
      <w:r w:rsidR="00E95367">
        <w:rPr>
          <w:b/>
          <w:bCs/>
          <w:i/>
          <w:iCs/>
          <w:lang w:val="en-GB"/>
        </w:rPr>
        <w:t xml:space="preserve">European </w:t>
      </w:r>
      <w:r w:rsidRPr="008C1E34">
        <w:rPr>
          <w:b/>
          <w:bCs/>
          <w:i/>
          <w:iCs/>
          <w:lang w:val="en-GB"/>
        </w:rPr>
        <w:t>HEIs</w:t>
      </w:r>
      <w:r w:rsidR="00E95367">
        <w:rPr>
          <w:b/>
          <w:bCs/>
          <w:i/>
          <w:iCs/>
          <w:lang w:val="en-GB"/>
        </w:rPr>
        <w:t>,</w:t>
      </w:r>
      <w:r w:rsidRPr="008C1E34">
        <w:rPr>
          <w:b/>
          <w:bCs/>
          <w:i/>
          <w:iCs/>
          <w:lang w:val="en-GB"/>
        </w:rPr>
        <w:t xml:space="preserve"> 2017</w:t>
      </w:r>
    </w:p>
    <w:p w:rsidR="008C1E34" w:rsidRDefault="008C1E34" w:rsidP="00A874A1">
      <w:pPr>
        <w:ind w:right="-6"/>
        <w:jc w:val="center"/>
        <w:rPr>
          <w:sz w:val="18"/>
          <w:szCs w:val="18"/>
          <w:lang w:val="en-GB"/>
        </w:rPr>
      </w:pPr>
      <w:r>
        <w:rPr>
          <w:rFonts w:eastAsiaTheme="majorEastAsia" w:cstheme="minorHAnsi"/>
          <w:noProof/>
          <w:color w:val="2F5496" w:themeColor="accent1" w:themeShade="BF"/>
          <w:sz w:val="24"/>
          <w:szCs w:val="26"/>
          <w:lang w:val="en-GB"/>
        </w:rPr>
        <w:drawing>
          <wp:inline distT="0" distB="0" distL="0" distR="0" wp14:anchorId="2B5AF4FF" wp14:editId="5B75936E">
            <wp:extent cx="3672359" cy="4034329"/>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NCE country map.jpg"/>
                    <pic:cNvPicPr/>
                  </pic:nvPicPr>
                  <pic:blipFill rotWithShape="1">
                    <a:blip r:embed="rId7" cstate="print">
                      <a:extLst>
                        <a:ext uri="{28A0092B-C50C-407E-A947-70E740481C1C}">
                          <a14:useLocalDpi xmlns:a14="http://schemas.microsoft.com/office/drawing/2010/main" val="0"/>
                        </a:ext>
                      </a:extLst>
                    </a:blip>
                    <a:srcRect t="7678" b="7538"/>
                    <a:stretch/>
                  </pic:blipFill>
                  <pic:spPr bwMode="auto">
                    <a:xfrm>
                      <a:off x="0" y="0"/>
                      <a:ext cx="3719741" cy="4086381"/>
                    </a:xfrm>
                    <a:prstGeom prst="rect">
                      <a:avLst/>
                    </a:prstGeom>
                    <a:ln>
                      <a:noFill/>
                    </a:ln>
                    <a:extLst>
                      <a:ext uri="{53640926-AAD7-44D8-BBD7-CCE9431645EC}">
                        <a14:shadowObscured xmlns:a14="http://schemas.microsoft.com/office/drawing/2010/main"/>
                      </a:ext>
                    </a:extLst>
                  </pic:spPr>
                </pic:pic>
              </a:graphicData>
            </a:graphic>
          </wp:inline>
        </w:drawing>
      </w:r>
    </w:p>
    <w:p w:rsidR="008C1E34" w:rsidRPr="008C1E34" w:rsidRDefault="008C1E34" w:rsidP="00A874A1">
      <w:pPr>
        <w:spacing w:after="120"/>
        <w:ind w:right="-6"/>
        <w:jc w:val="center"/>
        <w:rPr>
          <w:sz w:val="18"/>
          <w:szCs w:val="18"/>
          <w:lang w:val="en-GB"/>
        </w:rPr>
      </w:pPr>
      <w:r>
        <w:rPr>
          <w:sz w:val="18"/>
          <w:szCs w:val="18"/>
          <w:lang w:val="en-GB"/>
        </w:rPr>
        <w:t>Duvekot</w:t>
      </w:r>
      <w:r w:rsidR="00F74715">
        <w:rPr>
          <w:sz w:val="18"/>
          <w:szCs w:val="18"/>
          <w:lang w:val="en-GB"/>
        </w:rPr>
        <w:t xml:space="preserve"> &amp; </w:t>
      </w:r>
      <w:r>
        <w:rPr>
          <w:sz w:val="18"/>
          <w:szCs w:val="18"/>
          <w:lang w:val="en-GB"/>
        </w:rPr>
        <w:t>Duvekot, 2018.</w:t>
      </w:r>
    </w:p>
    <w:p w:rsidR="008C1E34" w:rsidRDefault="008C1E34" w:rsidP="00A874A1">
      <w:pPr>
        <w:spacing w:after="120"/>
        <w:ind w:right="-6"/>
        <w:jc w:val="both"/>
        <w:rPr>
          <w:b/>
          <w:bCs/>
          <w:i/>
          <w:iCs/>
          <w:sz w:val="22"/>
          <w:szCs w:val="22"/>
          <w:lang w:val="en-GB"/>
        </w:rPr>
      </w:pPr>
    </w:p>
    <w:p w:rsidR="008C1E34" w:rsidRDefault="00AD7C0C" w:rsidP="00A874A1">
      <w:pPr>
        <w:spacing w:after="120"/>
        <w:ind w:right="-6"/>
        <w:jc w:val="both"/>
        <w:rPr>
          <w:sz w:val="22"/>
          <w:szCs w:val="22"/>
          <w:lang w:val="en-GB"/>
        </w:rPr>
      </w:pPr>
      <w:r w:rsidRPr="00AD7C0C">
        <w:rPr>
          <w:b/>
          <w:bCs/>
          <w:sz w:val="22"/>
          <w:szCs w:val="22"/>
          <w:lang w:val="en-GB"/>
        </w:rPr>
        <w:t>Individual analysis</w:t>
      </w:r>
    </w:p>
    <w:p w:rsidR="00AD7C0C" w:rsidRDefault="001329A2" w:rsidP="00A874A1">
      <w:pPr>
        <w:spacing w:after="120"/>
        <w:ind w:right="-6"/>
        <w:jc w:val="both"/>
        <w:rPr>
          <w:rFonts w:eastAsiaTheme="minorHAnsi" w:cstheme="minorHAnsi"/>
          <w:lang w:val="en-US"/>
        </w:rPr>
      </w:pPr>
      <w:r>
        <w:rPr>
          <w:rFonts w:cstheme="minorHAnsi"/>
          <w:lang w:val="en-AU"/>
        </w:rPr>
        <w:t xml:space="preserve">In </w:t>
      </w:r>
      <w:r w:rsidR="00AD7C0C" w:rsidRPr="001347DC">
        <w:rPr>
          <w:rFonts w:cstheme="minorHAnsi"/>
          <w:lang w:val="en-AU"/>
        </w:rPr>
        <w:t xml:space="preserve">total </w:t>
      </w:r>
      <w:r w:rsidR="00AD7C0C">
        <w:rPr>
          <w:rFonts w:cstheme="minorHAnsi"/>
          <w:lang w:val="en-AU"/>
        </w:rPr>
        <w:t>43</w:t>
      </w:r>
      <w:r w:rsidR="00AD7C0C" w:rsidRPr="001347DC">
        <w:rPr>
          <w:rFonts w:cstheme="minorHAnsi"/>
          <w:lang w:val="en-AU"/>
        </w:rPr>
        <w:t xml:space="preserve"> individual cases </w:t>
      </w:r>
      <w:r w:rsidR="00AF6F7C" w:rsidRPr="001347DC">
        <w:rPr>
          <w:rFonts w:eastAsiaTheme="minorHAnsi" w:cstheme="minorHAnsi"/>
          <w:lang w:val="en-US"/>
        </w:rPr>
        <w:t>of higher educated refugees and migrants</w:t>
      </w:r>
      <w:r w:rsidR="00AF6F7C" w:rsidRPr="001347DC">
        <w:rPr>
          <w:rFonts w:cstheme="minorHAnsi"/>
          <w:lang w:val="en-AU"/>
        </w:rPr>
        <w:t xml:space="preserve"> </w:t>
      </w:r>
      <w:r>
        <w:rPr>
          <w:rFonts w:cstheme="minorHAnsi"/>
          <w:lang w:val="en-AU"/>
        </w:rPr>
        <w:t>were</w:t>
      </w:r>
      <w:r w:rsidR="00AD7C0C" w:rsidRPr="001347DC">
        <w:rPr>
          <w:rFonts w:cstheme="minorHAnsi"/>
          <w:lang w:val="en-AU"/>
        </w:rPr>
        <w:t xml:space="preserve"> collected and analysed</w:t>
      </w:r>
      <w:r>
        <w:rPr>
          <w:rFonts w:cstheme="minorHAnsi"/>
          <w:lang w:val="en-AU"/>
        </w:rPr>
        <w:t xml:space="preserve"> in 2017</w:t>
      </w:r>
      <w:r w:rsidR="00AD7C0C" w:rsidRPr="001347DC">
        <w:rPr>
          <w:rFonts w:cstheme="minorHAnsi"/>
          <w:lang w:val="en-AU"/>
        </w:rPr>
        <w:t xml:space="preserve">. </w:t>
      </w:r>
      <w:r>
        <w:rPr>
          <w:rFonts w:cstheme="minorHAnsi"/>
          <w:lang w:val="en-AU"/>
        </w:rPr>
        <w:t>C</w:t>
      </w:r>
      <w:r w:rsidR="00AD7C0C" w:rsidRPr="001347DC">
        <w:rPr>
          <w:rFonts w:cstheme="minorHAnsi"/>
          <w:lang w:val="en-AU"/>
        </w:rPr>
        <w:t xml:space="preserve">ountries reporting </w:t>
      </w:r>
      <w:r w:rsidR="00AF6F7C">
        <w:rPr>
          <w:rFonts w:cstheme="minorHAnsi"/>
          <w:lang w:val="en-AU"/>
        </w:rPr>
        <w:t>were</w:t>
      </w:r>
      <w:r w:rsidR="00AD7C0C" w:rsidRPr="001347DC">
        <w:rPr>
          <w:rFonts w:cstheme="minorHAnsi"/>
          <w:lang w:val="en-AU"/>
        </w:rPr>
        <w:t xml:space="preserve"> </w:t>
      </w:r>
      <w:r w:rsidR="00AD7C0C">
        <w:rPr>
          <w:rFonts w:eastAsiaTheme="minorHAnsi" w:cstheme="minorHAnsi"/>
          <w:lang w:val="en-US"/>
        </w:rPr>
        <w:t>Austria (7</w:t>
      </w:r>
      <w:r w:rsidR="00AD7C0C" w:rsidRPr="001347DC">
        <w:rPr>
          <w:rFonts w:eastAsiaTheme="minorHAnsi" w:cstheme="minorHAnsi"/>
          <w:lang w:val="en-US"/>
        </w:rPr>
        <w:t xml:space="preserve"> cases), Den</w:t>
      </w:r>
      <w:r w:rsidR="00AD7C0C">
        <w:rPr>
          <w:rFonts w:eastAsiaTheme="minorHAnsi" w:cstheme="minorHAnsi"/>
          <w:lang w:val="en-US"/>
        </w:rPr>
        <w:t>mark (3), France (6), Germany (5</w:t>
      </w:r>
      <w:r w:rsidR="00AD7C0C" w:rsidRPr="001347DC">
        <w:rPr>
          <w:rFonts w:eastAsiaTheme="minorHAnsi" w:cstheme="minorHAnsi"/>
          <w:lang w:val="en-US"/>
        </w:rPr>
        <w:t xml:space="preserve">), Greece (5), Hungary (2), Netherlands (10) and Norway (5). </w:t>
      </w:r>
      <w:r w:rsidR="00AF6F7C">
        <w:rPr>
          <w:rFonts w:eastAsiaTheme="minorHAnsi" w:cstheme="minorHAnsi"/>
          <w:lang w:val="en-US"/>
        </w:rPr>
        <w:t>These newcomers</w:t>
      </w:r>
      <w:r w:rsidR="00AD7C0C">
        <w:rPr>
          <w:rFonts w:eastAsiaTheme="minorHAnsi" w:cstheme="minorHAnsi"/>
          <w:lang w:val="en-US"/>
        </w:rPr>
        <w:t xml:space="preserve"> experienced the </w:t>
      </w:r>
      <w:r w:rsidR="00AF6F7C">
        <w:rPr>
          <w:rFonts w:eastAsiaTheme="minorHAnsi" w:cstheme="minorHAnsi"/>
          <w:lang w:val="en-US"/>
        </w:rPr>
        <w:t>VPL</w:t>
      </w:r>
      <w:r w:rsidR="00AD7C0C">
        <w:rPr>
          <w:rFonts w:eastAsiaTheme="minorHAnsi" w:cstheme="minorHAnsi"/>
          <w:lang w:val="en-US"/>
        </w:rPr>
        <w:t>-process more or less in the same manner, seeking recognition</w:t>
      </w:r>
      <w:r>
        <w:rPr>
          <w:rFonts w:eastAsiaTheme="minorHAnsi" w:cstheme="minorHAnsi"/>
          <w:lang w:val="en-US"/>
        </w:rPr>
        <w:t>, validation</w:t>
      </w:r>
      <w:r w:rsidR="00AD7C0C">
        <w:rPr>
          <w:rFonts w:eastAsiaTheme="minorHAnsi" w:cstheme="minorHAnsi"/>
          <w:lang w:val="en-US"/>
        </w:rPr>
        <w:t xml:space="preserve"> and accreditation for civil, social and/or personal perspectives in their new country</w:t>
      </w:r>
      <w:r w:rsidR="00AF6F7C">
        <w:rPr>
          <w:rFonts w:eastAsiaTheme="minorHAnsi" w:cstheme="minorHAnsi"/>
          <w:lang w:val="en-US"/>
        </w:rPr>
        <w:t>.</w:t>
      </w:r>
    </w:p>
    <w:p w:rsidR="00AF6F7C" w:rsidRPr="00AF6F7C" w:rsidRDefault="00AF6F7C" w:rsidP="00A874A1">
      <w:pPr>
        <w:spacing w:after="120"/>
        <w:ind w:right="-6"/>
        <w:jc w:val="both"/>
        <w:rPr>
          <w:rFonts w:cstheme="minorHAnsi"/>
          <w:lang w:val="en-GB"/>
        </w:rPr>
      </w:pPr>
      <w:r>
        <w:rPr>
          <w:rFonts w:cstheme="minorHAnsi"/>
          <w:lang w:val="en-GB"/>
        </w:rPr>
        <w:lastRenderedPageBreak/>
        <w:t>On the</w:t>
      </w:r>
      <w:r w:rsidR="00D137ED">
        <w:rPr>
          <w:rFonts w:cstheme="minorHAnsi"/>
          <w:lang w:val="en-GB"/>
        </w:rPr>
        <w:t xml:space="preserve"> personal </w:t>
      </w:r>
      <w:r>
        <w:rPr>
          <w:rFonts w:cstheme="minorHAnsi"/>
          <w:lang w:val="en-GB"/>
        </w:rPr>
        <w:t>level,</w:t>
      </w:r>
      <w:r w:rsidRPr="00AF6F7C">
        <w:rPr>
          <w:rFonts w:cstheme="minorHAnsi"/>
          <w:lang w:val="en-GB"/>
        </w:rPr>
        <w:t xml:space="preserve"> the main analytical aspects coming to the fore were </w:t>
      </w:r>
      <w:r>
        <w:rPr>
          <w:rFonts w:cstheme="minorHAnsi"/>
          <w:lang w:val="en-GB"/>
        </w:rPr>
        <w:t xml:space="preserve">their </w:t>
      </w:r>
      <w:r w:rsidRPr="00AF6F7C">
        <w:rPr>
          <w:rFonts w:cstheme="minorHAnsi"/>
          <w:lang w:val="en-GB"/>
        </w:rPr>
        <w:t xml:space="preserve">agency, </w:t>
      </w:r>
      <w:r>
        <w:rPr>
          <w:rFonts w:cstheme="minorHAnsi"/>
          <w:lang w:val="en-GB"/>
        </w:rPr>
        <w:t xml:space="preserve">the </w:t>
      </w:r>
      <w:r w:rsidRPr="00AF6F7C">
        <w:rPr>
          <w:rFonts w:cstheme="minorHAnsi"/>
          <w:lang w:val="en-GB"/>
        </w:rPr>
        <w:t xml:space="preserve">affordance by HEIs, </w:t>
      </w:r>
      <w:r>
        <w:rPr>
          <w:rFonts w:cstheme="minorHAnsi"/>
          <w:lang w:val="en-GB"/>
        </w:rPr>
        <w:t xml:space="preserve">the importance of </w:t>
      </w:r>
      <w:r w:rsidRPr="00AF6F7C">
        <w:rPr>
          <w:rFonts w:cstheme="minorHAnsi"/>
          <w:lang w:val="en-GB"/>
        </w:rPr>
        <w:t xml:space="preserve">information and guidance, the impact of the consecutive VPL-phases and </w:t>
      </w:r>
      <w:r>
        <w:rPr>
          <w:rFonts w:cstheme="minorHAnsi"/>
          <w:lang w:val="en-GB"/>
        </w:rPr>
        <w:t xml:space="preserve">the </w:t>
      </w:r>
      <w:r w:rsidRPr="00AF6F7C">
        <w:rPr>
          <w:rFonts w:cstheme="minorHAnsi"/>
          <w:lang w:val="en-GB"/>
        </w:rPr>
        <w:t>ownership of one’s learning outcomes.</w:t>
      </w:r>
    </w:p>
    <w:p w:rsidR="00AF6F7C" w:rsidRPr="00AF6F7C" w:rsidRDefault="00AF6F7C" w:rsidP="00A874A1">
      <w:pPr>
        <w:ind w:right="-6"/>
        <w:jc w:val="both"/>
        <w:rPr>
          <w:rFonts w:cstheme="minorHAnsi"/>
          <w:lang w:val="en-GB"/>
        </w:rPr>
      </w:pPr>
      <w:r w:rsidRPr="00AF6F7C">
        <w:rPr>
          <w:rFonts w:cstheme="minorHAnsi"/>
          <w:lang w:val="en-GB"/>
        </w:rPr>
        <w:t xml:space="preserve">The individual case-analyses demonstrated that: </w:t>
      </w:r>
    </w:p>
    <w:p w:rsidR="00AF6F7C" w:rsidRPr="00AF6F7C" w:rsidRDefault="00D137ED" w:rsidP="00A874A1">
      <w:pPr>
        <w:pStyle w:val="Lijstalinea"/>
        <w:numPr>
          <w:ilvl w:val="0"/>
          <w:numId w:val="3"/>
        </w:numPr>
        <w:ind w:left="142" w:right="-6" w:hanging="142"/>
        <w:jc w:val="both"/>
        <w:rPr>
          <w:rFonts w:asciiTheme="minorHAnsi" w:hAnsiTheme="minorHAnsi" w:cstheme="minorHAnsi"/>
          <w:szCs w:val="20"/>
          <w:lang w:val="en-GB"/>
        </w:rPr>
      </w:pPr>
      <w:r>
        <w:rPr>
          <w:rFonts w:asciiTheme="minorHAnsi" w:hAnsiTheme="minorHAnsi" w:cstheme="minorHAnsi"/>
          <w:szCs w:val="20"/>
          <w:lang w:val="en-GB"/>
        </w:rPr>
        <w:t>C</w:t>
      </w:r>
      <w:r w:rsidR="00AF6F7C" w:rsidRPr="00AF6F7C">
        <w:rPr>
          <w:rFonts w:asciiTheme="minorHAnsi" w:hAnsiTheme="minorHAnsi" w:cstheme="minorHAnsi"/>
          <w:szCs w:val="20"/>
          <w:lang w:val="en-GB"/>
        </w:rPr>
        <w:t>haracteristics of policy development not only show the slowness of implementation in the practice of HEIs, but also that an open dialogue on the opportunities of HE is conducive to activation of the individual learner.</w:t>
      </w:r>
    </w:p>
    <w:p w:rsidR="00AF6F7C" w:rsidRPr="00AF6F7C" w:rsidRDefault="00D137ED" w:rsidP="00A874A1">
      <w:pPr>
        <w:pStyle w:val="Lijstalinea"/>
        <w:numPr>
          <w:ilvl w:val="0"/>
          <w:numId w:val="3"/>
        </w:numPr>
        <w:spacing w:after="120"/>
        <w:ind w:left="142" w:right="-6" w:hanging="142"/>
        <w:jc w:val="both"/>
        <w:rPr>
          <w:rFonts w:asciiTheme="minorHAnsi" w:hAnsiTheme="minorHAnsi" w:cstheme="minorHAnsi"/>
          <w:szCs w:val="20"/>
          <w:lang w:val="en-GB"/>
        </w:rPr>
      </w:pPr>
      <w:r>
        <w:rPr>
          <w:rFonts w:asciiTheme="minorHAnsi" w:hAnsiTheme="minorHAnsi" w:cstheme="minorHAnsi"/>
          <w:szCs w:val="20"/>
          <w:lang w:val="en-GB"/>
        </w:rPr>
        <w:t>R</w:t>
      </w:r>
      <w:r w:rsidR="00AF6F7C" w:rsidRPr="00AF6F7C">
        <w:rPr>
          <w:rFonts w:asciiTheme="minorHAnsi" w:hAnsiTheme="minorHAnsi" w:cstheme="minorHAnsi"/>
          <w:szCs w:val="20"/>
          <w:lang w:val="en-GB"/>
        </w:rPr>
        <w:t>efugees and migrants are hesitant in accessing VPL-processes at first, but once informed, guided and reflective on their learning experiences, they clearly become empowered and engaged.</w:t>
      </w:r>
    </w:p>
    <w:p w:rsidR="00AF6F7C" w:rsidRPr="00AF6F7C" w:rsidRDefault="00AF6F7C" w:rsidP="00A874A1">
      <w:pPr>
        <w:pStyle w:val="Lijstalinea"/>
        <w:numPr>
          <w:ilvl w:val="0"/>
          <w:numId w:val="3"/>
        </w:numPr>
        <w:spacing w:after="120"/>
        <w:ind w:left="142" w:right="-6" w:hanging="142"/>
        <w:jc w:val="both"/>
        <w:rPr>
          <w:rFonts w:asciiTheme="minorHAnsi" w:hAnsiTheme="minorHAnsi" w:cstheme="minorHAnsi"/>
          <w:szCs w:val="20"/>
          <w:lang w:val="en-GB"/>
        </w:rPr>
      </w:pPr>
      <w:r w:rsidRPr="00AF6F7C">
        <w:rPr>
          <w:rFonts w:asciiTheme="minorHAnsi" w:hAnsiTheme="minorHAnsi" w:cstheme="minorHAnsi"/>
          <w:szCs w:val="20"/>
          <w:lang w:val="en-GB"/>
        </w:rPr>
        <w:t xml:space="preserve">Information provision on potential benefits of VPL is crucial for the agency of target groups. They feel </w:t>
      </w:r>
      <w:r w:rsidR="00D137ED" w:rsidRPr="00AF6F7C">
        <w:rPr>
          <w:rFonts w:asciiTheme="minorHAnsi" w:hAnsiTheme="minorHAnsi" w:cstheme="minorHAnsi"/>
          <w:szCs w:val="20"/>
          <w:lang w:val="en-GB"/>
        </w:rPr>
        <w:t xml:space="preserve">‘listened to’ and </w:t>
      </w:r>
      <w:r w:rsidRPr="00AF6F7C">
        <w:rPr>
          <w:rFonts w:asciiTheme="minorHAnsi" w:hAnsiTheme="minorHAnsi" w:cstheme="minorHAnsi"/>
          <w:szCs w:val="20"/>
          <w:lang w:val="en-GB"/>
        </w:rPr>
        <w:t xml:space="preserve">informally valued when helped in demonstrating their prior </w:t>
      </w:r>
      <w:r w:rsidR="00D137ED">
        <w:rPr>
          <w:rFonts w:asciiTheme="minorHAnsi" w:hAnsiTheme="minorHAnsi" w:cstheme="minorHAnsi"/>
          <w:szCs w:val="20"/>
          <w:lang w:val="en-GB"/>
        </w:rPr>
        <w:t xml:space="preserve">formal, non-formal and/or informal </w:t>
      </w:r>
      <w:r w:rsidRPr="00AF6F7C">
        <w:rPr>
          <w:rFonts w:asciiTheme="minorHAnsi" w:hAnsiTheme="minorHAnsi" w:cstheme="minorHAnsi"/>
          <w:szCs w:val="20"/>
          <w:lang w:val="en-GB"/>
        </w:rPr>
        <w:t xml:space="preserve">learning experiences. </w:t>
      </w:r>
      <w:r w:rsidR="00D137ED">
        <w:rPr>
          <w:rFonts w:asciiTheme="minorHAnsi" w:hAnsiTheme="minorHAnsi" w:cstheme="minorHAnsi"/>
          <w:szCs w:val="20"/>
          <w:lang w:val="en-GB"/>
        </w:rPr>
        <w:t>This</w:t>
      </w:r>
      <w:r w:rsidRPr="00AF6F7C">
        <w:rPr>
          <w:rFonts w:asciiTheme="minorHAnsi" w:hAnsiTheme="minorHAnsi" w:cstheme="minorHAnsi"/>
          <w:szCs w:val="20"/>
          <w:lang w:val="en-GB"/>
        </w:rPr>
        <w:t xml:space="preserve"> encourage</w:t>
      </w:r>
      <w:r w:rsidR="00D137ED">
        <w:rPr>
          <w:rFonts w:asciiTheme="minorHAnsi" w:hAnsiTheme="minorHAnsi" w:cstheme="minorHAnsi"/>
          <w:szCs w:val="20"/>
          <w:lang w:val="en-GB"/>
        </w:rPr>
        <w:t>s them</w:t>
      </w:r>
      <w:r w:rsidRPr="00AF6F7C">
        <w:rPr>
          <w:rFonts w:asciiTheme="minorHAnsi" w:hAnsiTheme="minorHAnsi" w:cstheme="minorHAnsi"/>
          <w:szCs w:val="20"/>
          <w:lang w:val="en-GB"/>
        </w:rPr>
        <w:t xml:space="preserve"> to engage in participative actions.</w:t>
      </w:r>
    </w:p>
    <w:p w:rsidR="00AF6F7C" w:rsidRPr="00AF6F7C" w:rsidRDefault="00D137ED" w:rsidP="00A874A1">
      <w:pPr>
        <w:pStyle w:val="Lijstalinea"/>
        <w:numPr>
          <w:ilvl w:val="0"/>
          <w:numId w:val="3"/>
        </w:numPr>
        <w:spacing w:after="120"/>
        <w:ind w:left="142" w:right="-6" w:hanging="142"/>
        <w:jc w:val="both"/>
        <w:rPr>
          <w:rFonts w:asciiTheme="minorHAnsi" w:hAnsiTheme="minorHAnsi" w:cstheme="minorHAnsi"/>
          <w:szCs w:val="20"/>
          <w:lang w:val="en-GB"/>
        </w:rPr>
      </w:pPr>
      <w:r>
        <w:rPr>
          <w:rFonts w:asciiTheme="minorHAnsi" w:hAnsiTheme="minorHAnsi" w:cstheme="minorHAnsi"/>
          <w:szCs w:val="20"/>
          <w:lang w:val="en-GB"/>
        </w:rPr>
        <w:t xml:space="preserve">Newcomers </w:t>
      </w:r>
      <w:r w:rsidR="00AF6F7C" w:rsidRPr="00AF6F7C">
        <w:rPr>
          <w:rFonts w:asciiTheme="minorHAnsi" w:hAnsiTheme="minorHAnsi" w:cstheme="minorHAnsi"/>
          <w:szCs w:val="20"/>
          <w:lang w:val="en-GB"/>
        </w:rPr>
        <w:t>profit likewise from VPL in terms of psychology (empowerment, self-esteem), educational attainment (exemptions, -if available – tailored learning) and career-perspectives (clarity about social opportunities, tuning in to the best fit in personal experiences + HE-qualification + career-options).</w:t>
      </w:r>
    </w:p>
    <w:p w:rsidR="00AF6F7C" w:rsidRPr="00AF6F7C" w:rsidRDefault="00D137ED" w:rsidP="00A874A1">
      <w:pPr>
        <w:pStyle w:val="Lijstalinea"/>
        <w:numPr>
          <w:ilvl w:val="0"/>
          <w:numId w:val="3"/>
        </w:numPr>
        <w:spacing w:after="120"/>
        <w:ind w:left="142" w:right="-6" w:hanging="142"/>
        <w:jc w:val="both"/>
        <w:rPr>
          <w:rFonts w:asciiTheme="minorHAnsi" w:hAnsiTheme="minorHAnsi" w:cstheme="minorHAnsi"/>
          <w:szCs w:val="20"/>
          <w:lang w:val="en-GB"/>
        </w:rPr>
      </w:pPr>
      <w:r>
        <w:rPr>
          <w:rFonts w:asciiTheme="minorHAnsi" w:hAnsiTheme="minorHAnsi" w:cstheme="minorHAnsi"/>
          <w:szCs w:val="20"/>
          <w:lang w:val="en-GB"/>
        </w:rPr>
        <w:t>They</w:t>
      </w:r>
      <w:r w:rsidR="00AF6F7C" w:rsidRPr="00AF6F7C">
        <w:rPr>
          <w:rFonts w:asciiTheme="minorHAnsi" w:hAnsiTheme="minorHAnsi" w:cstheme="minorHAnsi"/>
          <w:szCs w:val="20"/>
          <w:lang w:val="en-GB"/>
        </w:rPr>
        <w:t xml:space="preserve"> experience the same difficulties in formulating and proving their prior learning experiences as other students </w:t>
      </w:r>
      <w:r>
        <w:rPr>
          <w:rFonts w:asciiTheme="minorHAnsi" w:hAnsiTheme="minorHAnsi" w:cstheme="minorHAnsi"/>
          <w:szCs w:val="20"/>
          <w:lang w:val="en-GB"/>
        </w:rPr>
        <w:t>enrolling</w:t>
      </w:r>
      <w:r w:rsidR="00AF6F7C" w:rsidRPr="00AF6F7C">
        <w:rPr>
          <w:rFonts w:asciiTheme="minorHAnsi" w:hAnsiTheme="minorHAnsi" w:cstheme="minorHAnsi"/>
          <w:szCs w:val="20"/>
          <w:lang w:val="en-GB"/>
        </w:rPr>
        <w:t xml:space="preserve"> </w:t>
      </w:r>
      <w:proofErr w:type="gramStart"/>
      <w:r w:rsidR="00AF6F7C" w:rsidRPr="00AF6F7C">
        <w:rPr>
          <w:rFonts w:asciiTheme="minorHAnsi" w:hAnsiTheme="minorHAnsi" w:cstheme="minorHAnsi"/>
          <w:szCs w:val="20"/>
          <w:lang w:val="en-GB"/>
        </w:rPr>
        <w:t>in</w:t>
      </w:r>
      <w:proofErr w:type="gramEnd"/>
      <w:r w:rsidR="00AF6F7C" w:rsidRPr="00AF6F7C">
        <w:rPr>
          <w:rFonts w:asciiTheme="minorHAnsi" w:hAnsiTheme="minorHAnsi" w:cstheme="minorHAnsi"/>
          <w:szCs w:val="20"/>
          <w:lang w:val="en-GB"/>
        </w:rPr>
        <w:t xml:space="preserve"> HE. A main </w:t>
      </w:r>
      <w:r>
        <w:rPr>
          <w:rFonts w:asciiTheme="minorHAnsi" w:hAnsiTheme="minorHAnsi" w:cstheme="minorHAnsi"/>
          <w:szCs w:val="20"/>
          <w:lang w:val="en-GB"/>
        </w:rPr>
        <w:t>obstacle</w:t>
      </w:r>
      <w:r w:rsidR="00AF6F7C" w:rsidRPr="00AF6F7C">
        <w:rPr>
          <w:rFonts w:asciiTheme="minorHAnsi" w:hAnsiTheme="minorHAnsi" w:cstheme="minorHAnsi"/>
          <w:szCs w:val="20"/>
          <w:lang w:val="en-GB"/>
        </w:rPr>
        <w:t xml:space="preserve"> is the dominant learning paradigm in which people were educated and disciplined. Like European students, </w:t>
      </w:r>
      <w:r>
        <w:rPr>
          <w:rFonts w:asciiTheme="minorHAnsi" w:hAnsiTheme="minorHAnsi" w:cstheme="minorHAnsi"/>
          <w:szCs w:val="20"/>
          <w:lang w:val="en-GB"/>
        </w:rPr>
        <w:t>newcomers</w:t>
      </w:r>
      <w:r w:rsidR="00AF6F7C" w:rsidRPr="00AF6F7C">
        <w:rPr>
          <w:rFonts w:asciiTheme="minorHAnsi" w:hAnsiTheme="minorHAnsi" w:cstheme="minorHAnsi"/>
          <w:szCs w:val="20"/>
          <w:lang w:val="en-GB"/>
        </w:rPr>
        <w:t xml:space="preserve"> were educated in a </w:t>
      </w:r>
      <w:r w:rsidR="00AF6F7C" w:rsidRPr="00AF6F7C">
        <w:rPr>
          <w:rFonts w:asciiTheme="minorHAnsi" w:hAnsiTheme="minorHAnsi" w:cstheme="minorHAnsi"/>
          <w:i/>
          <w:szCs w:val="20"/>
          <w:lang w:val="en-GB"/>
        </w:rPr>
        <w:t>monological</w:t>
      </w:r>
      <w:r w:rsidR="00AF6F7C" w:rsidRPr="00AF6F7C">
        <w:rPr>
          <w:rFonts w:asciiTheme="minorHAnsi" w:hAnsiTheme="minorHAnsi" w:cstheme="minorHAnsi"/>
          <w:szCs w:val="20"/>
          <w:lang w:val="en-GB"/>
        </w:rPr>
        <w:t xml:space="preserve"> education system in which the teacher is the knowledge-bearer and the pupil/student has to listen to the teacher’s voice.</w:t>
      </w:r>
      <w:r>
        <w:rPr>
          <w:rFonts w:asciiTheme="minorHAnsi" w:hAnsiTheme="minorHAnsi" w:cstheme="minorHAnsi"/>
          <w:szCs w:val="20"/>
          <w:lang w:val="en-GB"/>
        </w:rPr>
        <w:t xml:space="preserve"> This holds back the student’s self-validation of personal learning experiences and isn’t helpful in creating a </w:t>
      </w:r>
      <w:r>
        <w:rPr>
          <w:rFonts w:asciiTheme="minorHAnsi" w:hAnsiTheme="minorHAnsi" w:cstheme="minorHAnsi"/>
          <w:i/>
          <w:iCs/>
          <w:szCs w:val="20"/>
          <w:lang w:val="en-GB"/>
        </w:rPr>
        <w:t>dialogue</w:t>
      </w:r>
      <w:r>
        <w:rPr>
          <w:rFonts w:asciiTheme="minorHAnsi" w:hAnsiTheme="minorHAnsi" w:cstheme="minorHAnsi"/>
          <w:szCs w:val="20"/>
          <w:lang w:val="en-GB"/>
        </w:rPr>
        <w:t xml:space="preserve"> on learning in a VPL-steered process.</w:t>
      </w:r>
    </w:p>
    <w:p w:rsidR="00AF6F7C" w:rsidRPr="00AF6F7C" w:rsidRDefault="00D137ED" w:rsidP="00A874A1">
      <w:pPr>
        <w:pStyle w:val="Lijstalinea"/>
        <w:numPr>
          <w:ilvl w:val="0"/>
          <w:numId w:val="3"/>
        </w:numPr>
        <w:spacing w:after="120"/>
        <w:ind w:left="142" w:right="-6" w:hanging="142"/>
        <w:jc w:val="both"/>
        <w:rPr>
          <w:rFonts w:asciiTheme="minorHAnsi" w:hAnsiTheme="minorHAnsi" w:cstheme="minorHAnsi"/>
          <w:szCs w:val="20"/>
          <w:lang w:val="en-GB"/>
        </w:rPr>
      </w:pPr>
      <w:r>
        <w:rPr>
          <w:rFonts w:asciiTheme="minorHAnsi" w:hAnsiTheme="minorHAnsi" w:cstheme="minorHAnsi"/>
          <w:lang w:val="en-GB"/>
        </w:rPr>
        <w:t>Students</w:t>
      </w:r>
      <w:r w:rsidR="00AF6F7C" w:rsidRPr="00AF6F7C">
        <w:rPr>
          <w:rFonts w:asciiTheme="minorHAnsi" w:hAnsiTheme="minorHAnsi" w:cstheme="minorHAnsi"/>
          <w:lang w:val="en-GB"/>
        </w:rPr>
        <w:t xml:space="preserve"> </w:t>
      </w:r>
      <w:r>
        <w:rPr>
          <w:rFonts w:asciiTheme="minorHAnsi" w:hAnsiTheme="minorHAnsi" w:cstheme="minorHAnsi"/>
          <w:lang w:val="en-GB"/>
        </w:rPr>
        <w:t>taking</w:t>
      </w:r>
      <w:r w:rsidR="00AF6F7C" w:rsidRPr="00AF6F7C">
        <w:rPr>
          <w:rFonts w:asciiTheme="minorHAnsi" w:hAnsiTheme="minorHAnsi" w:cstheme="minorHAnsi"/>
          <w:lang w:val="en-GB"/>
        </w:rPr>
        <w:t xml:space="preserve"> time to reflect on their learning experiences strengthened their position in their dialogue on further learning with the HEI and/or employer. In most cases, the dialogue operated as a ‘gap-closer’ between the refugees/migrants and portfolio-trainer/teacher/employer; in this way, they managed to build a bridge to a personalised </w:t>
      </w:r>
      <w:r w:rsidR="00796F87">
        <w:rPr>
          <w:rFonts w:asciiTheme="minorHAnsi" w:hAnsiTheme="minorHAnsi" w:cstheme="minorHAnsi"/>
          <w:lang w:val="en-GB"/>
        </w:rPr>
        <w:t>and tailored</w:t>
      </w:r>
      <w:r w:rsidR="00AF6F7C" w:rsidRPr="00AF6F7C">
        <w:rPr>
          <w:rFonts w:asciiTheme="minorHAnsi" w:hAnsiTheme="minorHAnsi" w:cstheme="minorHAnsi"/>
          <w:lang w:val="en-GB"/>
        </w:rPr>
        <w:t xml:space="preserve"> programme.</w:t>
      </w:r>
    </w:p>
    <w:p w:rsidR="00AF6F7C" w:rsidRPr="00AF6F7C" w:rsidRDefault="00AF6F7C" w:rsidP="00A874A1">
      <w:pPr>
        <w:pStyle w:val="Lijstalinea"/>
        <w:numPr>
          <w:ilvl w:val="0"/>
          <w:numId w:val="3"/>
        </w:numPr>
        <w:spacing w:after="120"/>
        <w:ind w:left="142" w:right="-6" w:hanging="142"/>
        <w:jc w:val="both"/>
        <w:rPr>
          <w:rFonts w:asciiTheme="minorHAnsi" w:hAnsiTheme="minorHAnsi" w:cstheme="minorHAnsi"/>
          <w:szCs w:val="20"/>
          <w:lang w:val="en-GB"/>
        </w:rPr>
      </w:pPr>
      <w:r w:rsidRPr="00AF6F7C">
        <w:rPr>
          <w:rFonts w:asciiTheme="minorHAnsi" w:hAnsiTheme="minorHAnsi" w:cstheme="minorHAnsi"/>
          <w:szCs w:val="20"/>
          <w:lang w:val="en-GB"/>
        </w:rPr>
        <w:t>The portfolio is the carrier of the VPL</w:t>
      </w:r>
      <w:r w:rsidR="00796F87">
        <w:rPr>
          <w:rFonts w:asciiTheme="minorHAnsi" w:hAnsiTheme="minorHAnsi" w:cstheme="minorHAnsi"/>
          <w:szCs w:val="20"/>
          <w:lang w:val="en-GB"/>
        </w:rPr>
        <w:t>-</w:t>
      </w:r>
      <w:r w:rsidRPr="00AF6F7C">
        <w:rPr>
          <w:rFonts w:asciiTheme="minorHAnsi" w:hAnsiTheme="minorHAnsi" w:cstheme="minorHAnsi"/>
          <w:szCs w:val="20"/>
          <w:lang w:val="en-GB"/>
        </w:rPr>
        <w:t>process</w:t>
      </w:r>
      <w:r w:rsidRPr="00AF6F7C">
        <w:rPr>
          <w:rFonts w:asciiTheme="minorHAnsi" w:hAnsiTheme="minorHAnsi" w:cstheme="minorHAnsi"/>
          <w:i/>
          <w:lang w:val="en-GB"/>
        </w:rPr>
        <w:t>.</w:t>
      </w:r>
      <w:r w:rsidRPr="00AF6F7C">
        <w:rPr>
          <w:rFonts w:asciiTheme="minorHAnsi" w:hAnsiTheme="minorHAnsi" w:cstheme="minorHAnsi"/>
          <w:lang w:val="en-GB"/>
        </w:rPr>
        <w:t xml:space="preserve"> Guidance or mentoring in the documentation phase is </w:t>
      </w:r>
      <w:r w:rsidR="00796F87">
        <w:rPr>
          <w:rFonts w:asciiTheme="minorHAnsi" w:hAnsiTheme="minorHAnsi" w:cstheme="minorHAnsi"/>
          <w:lang w:val="en-GB"/>
        </w:rPr>
        <w:t>highly</w:t>
      </w:r>
      <w:r w:rsidRPr="00AF6F7C">
        <w:rPr>
          <w:rFonts w:asciiTheme="minorHAnsi" w:hAnsiTheme="minorHAnsi" w:cstheme="minorHAnsi"/>
          <w:lang w:val="en-GB"/>
        </w:rPr>
        <w:t xml:space="preserve"> beneficial for </w:t>
      </w:r>
      <w:r w:rsidR="00796F87">
        <w:rPr>
          <w:rFonts w:asciiTheme="minorHAnsi" w:hAnsiTheme="minorHAnsi" w:cstheme="minorHAnsi"/>
          <w:lang w:val="en-GB"/>
        </w:rPr>
        <w:t>newcomers</w:t>
      </w:r>
      <w:r w:rsidRPr="00AF6F7C">
        <w:rPr>
          <w:rFonts w:asciiTheme="minorHAnsi" w:hAnsiTheme="minorHAnsi" w:cstheme="minorHAnsi"/>
          <w:lang w:val="en-GB"/>
        </w:rPr>
        <w:t>.</w:t>
      </w:r>
    </w:p>
    <w:p w:rsidR="00AF6F7C" w:rsidRPr="00AF6F7C" w:rsidRDefault="00AF6F7C" w:rsidP="00A874A1">
      <w:pPr>
        <w:pStyle w:val="Lijstalinea"/>
        <w:numPr>
          <w:ilvl w:val="0"/>
          <w:numId w:val="3"/>
        </w:numPr>
        <w:spacing w:after="120"/>
        <w:ind w:left="142" w:right="-6" w:hanging="142"/>
        <w:jc w:val="both"/>
        <w:rPr>
          <w:rFonts w:asciiTheme="minorHAnsi" w:hAnsiTheme="minorHAnsi" w:cstheme="minorHAnsi"/>
          <w:szCs w:val="20"/>
          <w:lang w:val="en-GB"/>
        </w:rPr>
      </w:pPr>
      <w:r w:rsidRPr="00AF6F7C">
        <w:rPr>
          <w:rFonts w:asciiTheme="minorHAnsi" w:hAnsiTheme="minorHAnsi" w:cstheme="minorHAnsi"/>
          <w:lang w:val="en-GB"/>
        </w:rPr>
        <w:t xml:space="preserve">With the creation of a transparent portfolio of personal, prior learning experiences, the </w:t>
      </w:r>
      <w:r w:rsidR="00796F87">
        <w:rPr>
          <w:rFonts w:asciiTheme="minorHAnsi" w:hAnsiTheme="minorHAnsi" w:cstheme="minorHAnsi"/>
          <w:lang w:val="en-GB"/>
        </w:rPr>
        <w:t xml:space="preserve">personal </w:t>
      </w:r>
      <w:r w:rsidRPr="00AF6F7C">
        <w:rPr>
          <w:rFonts w:asciiTheme="minorHAnsi" w:hAnsiTheme="minorHAnsi" w:cstheme="minorHAnsi"/>
          <w:lang w:val="en-GB"/>
        </w:rPr>
        <w:t xml:space="preserve">ownership of (lifelong) learning </w:t>
      </w:r>
      <w:r w:rsidR="00796F87">
        <w:rPr>
          <w:rFonts w:asciiTheme="minorHAnsi" w:hAnsiTheme="minorHAnsi" w:cstheme="minorHAnsi"/>
          <w:lang w:val="en-GB"/>
        </w:rPr>
        <w:t>is enhanced</w:t>
      </w:r>
      <w:r w:rsidRPr="00AF6F7C">
        <w:rPr>
          <w:rFonts w:asciiTheme="minorHAnsi" w:hAnsiTheme="minorHAnsi" w:cstheme="minorHAnsi"/>
          <w:lang w:val="en-GB"/>
        </w:rPr>
        <w:t xml:space="preserve">. By articulating one’s learning achievements and reflecting on </w:t>
      </w:r>
      <w:r w:rsidR="00796F87">
        <w:rPr>
          <w:rFonts w:asciiTheme="minorHAnsi" w:hAnsiTheme="minorHAnsi" w:cstheme="minorHAnsi"/>
          <w:lang w:val="en-GB"/>
        </w:rPr>
        <w:t>its</w:t>
      </w:r>
      <w:r w:rsidRPr="00AF6F7C">
        <w:rPr>
          <w:rFonts w:asciiTheme="minorHAnsi" w:hAnsiTheme="minorHAnsi" w:cstheme="minorHAnsi"/>
          <w:lang w:val="en-GB"/>
        </w:rPr>
        <w:t xml:space="preserve"> value, by self-assessing one’s strengths and weaknesses (SWOT), self-efficacy becomes </w:t>
      </w:r>
      <w:r w:rsidR="00796F87">
        <w:rPr>
          <w:rFonts w:asciiTheme="minorHAnsi" w:hAnsiTheme="minorHAnsi" w:cstheme="minorHAnsi"/>
          <w:lang w:val="en-GB"/>
        </w:rPr>
        <w:t>a driver</w:t>
      </w:r>
      <w:r w:rsidRPr="00AF6F7C">
        <w:rPr>
          <w:rFonts w:asciiTheme="minorHAnsi" w:hAnsiTheme="minorHAnsi" w:cstheme="minorHAnsi"/>
          <w:lang w:val="en-GB"/>
        </w:rPr>
        <w:t xml:space="preserve"> for turning this retrospective ownership of learning into a dialogue for activating prospective learning</w:t>
      </w:r>
      <w:r w:rsidR="00796F87">
        <w:rPr>
          <w:rFonts w:asciiTheme="minorHAnsi" w:hAnsiTheme="minorHAnsi" w:cstheme="minorHAnsi"/>
          <w:lang w:val="en-GB"/>
        </w:rPr>
        <w:t xml:space="preserve"> opportunities</w:t>
      </w:r>
      <w:r w:rsidRPr="00AF6F7C">
        <w:rPr>
          <w:rFonts w:asciiTheme="minorHAnsi" w:hAnsiTheme="minorHAnsi" w:cstheme="minorHAnsi"/>
          <w:lang w:val="en-GB"/>
        </w:rPr>
        <w:t xml:space="preserve">. </w:t>
      </w:r>
    </w:p>
    <w:p w:rsidR="00AF6F7C" w:rsidRPr="00AF6F7C" w:rsidRDefault="00AF6F7C" w:rsidP="00A874A1">
      <w:pPr>
        <w:pStyle w:val="Lijstalinea"/>
        <w:numPr>
          <w:ilvl w:val="0"/>
          <w:numId w:val="3"/>
        </w:numPr>
        <w:spacing w:after="120"/>
        <w:ind w:left="142" w:right="-6" w:hanging="142"/>
        <w:jc w:val="both"/>
        <w:rPr>
          <w:rFonts w:asciiTheme="minorHAnsi" w:hAnsiTheme="minorHAnsi" w:cstheme="minorHAnsi"/>
          <w:szCs w:val="20"/>
          <w:lang w:val="en-GB"/>
        </w:rPr>
      </w:pPr>
      <w:r w:rsidRPr="00AF6F7C">
        <w:rPr>
          <w:rFonts w:asciiTheme="minorHAnsi" w:hAnsiTheme="minorHAnsi" w:cstheme="minorHAnsi"/>
          <w:lang w:val="en-GB"/>
        </w:rPr>
        <w:t xml:space="preserve">The supportive and facilitative role of NGOs is manifest, not only in funding VPL but also in providing information, guidance for VPL. NGOs also play a stimulating role in building up affordance of VPL in HEIs for </w:t>
      </w:r>
      <w:r w:rsidR="00796F87">
        <w:rPr>
          <w:rFonts w:asciiTheme="minorHAnsi" w:hAnsiTheme="minorHAnsi" w:cstheme="minorHAnsi"/>
          <w:lang w:val="en-GB"/>
        </w:rPr>
        <w:t xml:space="preserve">newcomers, </w:t>
      </w:r>
      <w:r w:rsidRPr="00AF6F7C">
        <w:rPr>
          <w:rFonts w:asciiTheme="minorHAnsi" w:hAnsiTheme="minorHAnsi" w:cstheme="minorHAnsi"/>
          <w:lang w:val="en-GB"/>
        </w:rPr>
        <w:t xml:space="preserve">by networking and lobbying. Therewith they can play a decisive role in convincing HEIs to afford VPL-facilities for the target groups. </w:t>
      </w:r>
    </w:p>
    <w:p w:rsidR="00AF6F7C" w:rsidRPr="00AF6F7C" w:rsidRDefault="00AF6F7C" w:rsidP="00A874A1">
      <w:pPr>
        <w:pStyle w:val="Lijstalinea"/>
        <w:numPr>
          <w:ilvl w:val="0"/>
          <w:numId w:val="3"/>
        </w:numPr>
        <w:spacing w:after="120"/>
        <w:ind w:left="142" w:right="-6" w:hanging="142"/>
        <w:jc w:val="both"/>
        <w:rPr>
          <w:rFonts w:asciiTheme="minorHAnsi" w:hAnsiTheme="minorHAnsi" w:cstheme="minorHAnsi"/>
          <w:szCs w:val="20"/>
          <w:lang w:val="en-GB"/>
        </w:rPr>
      </w:pPr>
      <w:r w:rsidRPr="00AF6F7C">
        <w:rPr>
          <w:rFonts w:asciiTheme="minorHAnsi" w:hAnsiTheme="minorHAnsi" w:cstheme="minorHAnsi"/>
          <w:lang w:val="en-GB"/>
        </w:rPr>
        <w:t xml:space="preserve">The return on investment of a structured portfolio-training for preparation of a VPL-procedure is beneficial for </w:t>
      </w:r>
      <w:r w:rsidR="00796F87">
        <w:rPr>
          <w:rFonts w:asciiTheme="minorHAnsi" w:hAnsiTheme="minorHAnsi" w:cstheme="minorHAnsi"/>
          <w:lang w:val="en-GB"/>
        </w:rPr>
        <w:t>newcomers</w:t>
      </w:r>
      <w:r w:rsidRPr="00AF6F7C">
        <w:rPr>
          <w:rFonts w:asciiTheme="minorHAnsi" w:hAnsiTheme="minorHAnsi" w:cstheme="minorHAnsi"/>
          <w:lang w:val="en-GB"/>
        </w:rPr>
        <w:t>. The same goes for language training and bridging courses (acculturation and additional competence development for solving knowledge deficits).</w:t>
      </w:r>
    </w:p>
    <w:p w:rsidR="00AF6F7C" w:rsidRPr="00AF6F7C" w:rsidRDefault="00AF6F7C" w:rsidP="00A874A1">
      <w:pPr>
        <w:pStyle w:val="Lijstalinea"/>
        <w:numPr>
          <w:ilvl w:val="0"/>
          <w:numId w:val="3"/>
        </w:numPr>
        <w:spacing w:after="120"/>
        <w:ind w:left="142" w:right="-6" w:hanging="142"/>
        <w:jc w:val="both"/>
        <w:rPr>
          <w:rFonts w:asciiTheme="minorHAnsi" w:hAnsiTheme="minorHAnsi" w:cstheme="minorHAnsi"/>
          <w:szCs w:val="20"/>
          <w:lang w:val="en-GB"/>
        </w:rPr>
      </w:pPr>
      <w:r w:rsidRPr="00AF6F7C">
        <w:rPr>
          <w:rFonts w:asciiTheme="minorHAnsi" w:hAnsiTheme="minorHAnsi" w:cstheme="minorHAnsi"/>
          <w:szCs w:val="20"/>
          <w:lang w:val="en-GB"/>
        </w:rPr>
        <w:t xml:space="preserve">Assessment helps to connect </w:t>
      </w:r>
      <w:r w:rsidR="00796F87">
        <w:rPr>
          <w:rFonts w:asciiTheme="minorHAnsi" w:hAnsiTheme="minorHAnsi" w:cstheme="minorHAnsi"/>
          <w:szCs w:val="20"/>
          <w:lang w:val="en-GB"/>
        </w:rPr>
        <w:t>all actors in the process</w:t>
      </w:r>
      <w:r w:rsidRPr="00AF6F7C">
        <w:rPr>
          <w:rFonts w:asciiTheme="minorHAnsi" w:hAnsiTheme="minorHAnsi" w:cstheme="minorHAnsi"/>
          <w:szCs w:val="20"/>
          <w:lang w:val="en-GB"/>
        </w:rPr>
        <w:t xml:space="preserve">. This effect occurs in all forms of assessment that are analysed in the cases: </w:t>
      </w:r>
      <w:r w:rsidRPr="00AF6F7C">
        <w:rPr>
          <w:rFonts w:asciiTheme="minorHAnsi" w:hAnsiTheme="minorHAnsi" w:cstheme="minorHAnsi"/>
          <w:i/>
          <w:iCs/>
          <w:szCs w:val="20"/>
          <w:lang w:val="en-GB"/>
        </w:rPr>
        <w:t>assessment of</w:t>
      </w:r>
      <w:r w:rsidRPr="00AF6F7C">
        <w:rPr>
          <w:rFonts w:asciiTheme="minorHAnsi" w:hAnsiTheme="minorHAnsi" w:cstheme="minorHAnsi"/>
          <w:szCs w:val="20"/>
          <w:lang w:val="en-GB"/>
        </w:rPr>
        <w:t xml:space="preserve">, </w:t>
      </w:r>
      <w:r w:rsidRPr="00AF6F7C">
        <w:rPr>
          <w:rFonts w:asciiTheme="minorHAnsi" w:hAnsiTheme="minorHAnsi" w:cstheme="minorHAnsi"/>
          <w:i/>
          <w:iCs/>
          <w:szCs w:val="20"/>
          <w:lang w:val="en-GB"/>
        </w:rPr>
        <w:t>for</w:t>
      </w:r>
      <w:r w:rsidRPr="00AF6F7C">
        <w:rPr>
          <w:rFonts w:asciiTheme="minorHAnsi" w:hAnsiTheme="minorHAnsi" w:cstheme="minorHAnsi"/>
          <w:szCs w:val="20"/>
          <w:lang w:val="en-GB"/>
        </w:rPr>
        <w:t xml:space="preserve"> and </w:t>
      </w:r>
      <w:r w:rsidRPr="00AF6F7C">
        <w:rPr>
          <w:rFonts w:asciiTheme="minorHAnsi" w:hAnsiTheme="minorHAnsi" w:cstheme="minorHAnsi"/>
          <w:i/>
          <w:iCs/>
          <w:szCs w:val="20"/>
          <w:lang w:val="en-GB"/>
        </w:rPr>
        <w:t>as</w:t>
      </w:r>
      <w:r w:rsidRPr="00AF6F7C">
        <w:rPr>
          <w:rFonts w:asciiTheme="minorHAnsi" w:hAnsiTheme="minorHAnsi" w:cstheme="minorHAnsi"/>
          <w:szCs w:val="20"/>
          <w:lang w:val="en-GB"/>
        </w:rPr>
        <w:t xml:space="preserve"> learning, resp. summative, formative and reflective assessment.</w:t>
      </w:r>
    </w:p>
    <w:p w:rsidR="00AF6F7C" w:rsidRDefault="00AF6F7C" w:rsidP="00A874A1">
      <w:pPr>
        <w:pStyle w:val="Lijstalinea"/>
        <w:numPr>
          <w:ilvl w:val="0"/>
          <w:numId w:val="3"/>
        </w:numPr>
        <w:spacing w:after="120"/>
        <w:ind w:left="142" w:right="-6" w:hanging="142"/>
        <w:jc w:val="both"/>
        <w:rPr>
          <w:rFonts w:asciiTheme="minorHAnsi" w:hAnsiTheme="minorHAnsi" w:cstheme="minorHAnsi"/>
          <w:szCs w:val="20"/>
          <w:lang w:val="en-GB"/>
        </w:rPr>
      </w:pPr>
      <w:r w:rsidRPr="00AF6F7C">
        <w:rPr>
          <w:rFonts w:asciiTheme="minorHAnsi" w:hAnsiTheme="minorHAnsi" w:cstheme="minorHAnsi"/>
          <w:szCs w:val="20"/>
          <w:lang w:val="en-GB"/>
        </w:rPr>
        <w:t xml:space="preserve">There is a real dynamic space between the system (top-down) and the process (bottom-up), but depending on the intended learning objective, results are always obtained for different </w:t>
      </w:r>
      <w:r w:rsidR="00796F87">
        <w:rPr>
          <w:rFonts w:asciiTheme="minorHAnsi" w:hAnsiTheme="minorHAnsi" w:cstheme="minorHAnsi"/>
          <w:szCs w:val="20"/>
          <w:lang w:val="en-GB"/>
        </w:rPr>
        <w:t>actors</w:t>
      </w:r>
      <w:r w:rsidRPr="00AF6F7C">
        <w:rPr>
          <w:rFonts w:asciiTheme="minorHAnsi" w:hAnsiTheme="minorHAnsi" w:cstheme="minorHAnsi"/>
          <w:szCs w:val="20"/>
          <w:lang w:val="en-GB"/>
        </w:rPr>
        <w:t xml:space="preserve">. If the system is in control, due to an </w:t>
      </w:r>
      <w:r w:rsidRPr="00AF6F7C">
        <w:rPr>
          <w:rFonts w:asciiTheme="minorHAnsi" w:hAnsiTheme="minorHAnsi" w:cstheme="minorHAnsi"/>
          <w:i/>
          <w:iCs/>
          <w:szCs w:val="20"/>
          <w:lang w:val="en-GB"/>
        </w:rPr>
        <w:t>inside-out approach</w:t>
      </w:r>
      <w:r w:rsidRPr="00AF6F7C">
        <w:rPr>
          <w:rFonts w:asciiTheme="minorHAnsi" w:hAnsiTheme="minorHAnsi" w:cstheme="minorHAnsi"/>
          <w:szCs w:val="20"/>
          <w:lang w:val="en-GB"/>
        </w:rPr>
        <w:t xml:space="preserve">, it is mainly the organisation and ‘the </w:t>
      </w:r>
      <w:r w:rsidR="00796F87">
        <w:rPr>
          <w:rFonts w:asciiTheme="minorHAnsi" w:hAnsiTheme="minorHAnsi" w:cstheme="minorHAnsi"/>
          <w:szCs w:val="20"/>
          <w:lang w:val="en-GB"/>
        </w:rPr>
        <w:t>university’</w:t>
      </w:r>
      <w:r w:rsidRPr="00AF6F7C">
        <w:rPr>
          <w:rFonts w:asciiTheme="minorHAnsi" w:hAnsiTheme="minorHAnsi" w:cstheme="minorHAnsi"/>
          <w:szCs w:val="20"/>
          <w:lang w:val="en-GB"/>
        </w:rPr>
        <w:t xml:space="preserve"> </w:t>
      </w:r>
      <w:r w:rsidR="00796F87">
        <w:rPr>
          <w:rFonts w:asciiTheme="minorHAnsi" w:hAnsiTheme="minorHAnsi" w:cstheme="minorHAnsi"/>
          <w:szCs w:val="20"/>
          <w:lang w:val="en-GB"/>
        </w:rPr>
        <w:t>that</w:t>
      </w:r>
      <w:r w:rsidRPr="00AF6F7C">
        <w:rPr>
          <w:rFonts w:asciiTheme="minorHAnsi" w:hAnsiTheme="minorHAnsi" w:cstheme="minorHAnsi"/>
          <w:szCs w:val="20"/>
          <w:lang w:val="en-GB"/>
        </w:rPr>
        <w:t xml:space="preserve"> benefit; </w:t>
      </w:r>
      <w:r w:rsidR="00796F87">
        <w:rPr>
          <w:rFonts w:asciiTheme="minorHAnsi" w:hAnsiTheme="minorHAnsi" w:cstheme="minorHAnsi"/>
          <w:szCs w:val="20"/>
          <w:lang w:val="en-GB"/>
        </w:rPr>
        <w:t>if</w:t>
      </w:r>
      <w:r w:rsidRPr="00AF6F7C">
        <w:rPr>
          <w:rFonts w:asciiTheme="minorHAnsi" w:hAnsiTheme="minorHAnsi" w:cstheme="minorHAnsi"/>
          <w:szCs w:val="20"/>
          <w:lang w:val="en-GB"/>
        </w:rPr>
        <w:t xml:space="preserve"> the process </w:t>
      </w:r>
      <w:r w:rsidR="00796F87">
        <w:rPr>
          <w:rFonts w:asciiTheme="minorHAnsi" w:hAnsiTheme="minorHAnsi" w:cstheme="minorHAnsi"/>
          <w:szCs w:val="20"/>
          <w:lang w:val="en-GB"/>
        </w:rPr>
        <w:t>is</w:t>
      </w:r>
      <w:r w:rsidRPr="00AF6F7C">
        <w:rPr>
          <w:rFonts w:asciiTheme="minorHAnsi" w:hAnsiTheme="minorHAnsi" w:cstheme="minorHAnsi"/>
          <w:szCs w:val="20"/>
          <w:lang w:val="en-GB"/>
        </w:rPr>
        <w:t xml:space="preserve"> prioritised in an </w:t>
      </w:r>
      <w:r w:rsidRPr="00AF6F7C">
        <w:rPr>
          <w:rFonts w:asciiTheme="minorHAnsi" w:hAnsiTheme="minorHAnsi" w:cstheme="minorHAnsi"/>
          <w:i/>
          <w:iCs/>
          <w:szCs w:val="20"/>
          <w:lang w:val="en-GB"/>
        </w:rPr>
        <w:t>outside-in approach</w:t>
      </w:r>
      <w:r w:rsidRPr="00AF6F7C">
        <w:rPr>
          <w:rFonts w:asciiTheme="minorHAnsi" w:hAnsiTheme="minorHAnsi" w:cstheme="minorHAnsi"/>
          <w:szCs w:val="20"/>
          <w:lang w:val="en-GB"/>
        </w:rPr>
        <w:t>, then the learner</w:t>
      </w:r>
      <w:r w:rsidRPr="00706489">
        <w:rPr>
          <w:rFonts w:asciiTheme="minorHAnsi" w:hAnsiTheme="minorHAnsi" w:cstheme="minorHAnsi"/>
          <w:szCs w:val="20"/>
          <w:lang w:val="en-GB"/>
        </w:rPr>
        <w:t xml:space="preserve"> benefits</w:t>
      </w:r>
      <w:r w:rsidR="00A874A1">
        <w:rPr>
          <w:rFonts w:asciiTheme="minorHAnsi" w:hAnsiTheme="minorHAnsi" w:cstheme="minorHAnsi"/>
          <w:szCs w:val="20"/>
          <w:lang w:val="en-GB"/>
        </w:rPr>
        <w:t>.</w:t>
      </w:r>
    </w:p>
    <w:p w:rsidR="00A874A1" w:rsidRDefault="00A874A1" w:rsidP="00A874A1">
      <w:pPr>
        <w:spacing w:after="120"/>
        <w:ind w:right="-6"/>
        <w:jc w:val="both"/>
        <w:rPr>
          <w:rFonts w:cstheme="minorHAnsi"/>
          <w:b/>
          <w:bCs/>
          <w:sz w:val="22"/>
          <w:szCs w:val="22"/>
          <w:highlight w:val="yellow"/>
          <w:lang w:val="en-AU"/>
        </w:rPr>
      </w:pPr>
    </w:p>
    <w:p w:rsidR="00A874A1" w:rsidRPr="00A874A1" w:rsidRDefault="0082018E" w:rsidP="00A874A1">
      <w:pPr>
        <w:spacing w:after="120"/>
        <w:ind w:right="-6"/>
        <w:jc w:val="both"/>
        <w:rPr>
          <w:rFonts w:cstheme="minorHAnsi"/>
          <w:b/>
          <w:bCs/>
          <w:sz w:val="22"/>
          <w:szCs w:val="22"/>
          <w:lang w:val="en-AU"/>
        </w:rPr>
      </w:pPr>
      <w:r>
        <w:rPr>
          <w:rFonts w:cstheme="minorHAnsi"/>
          <w:b/>
          <w:bCs/>
          <w:sz w:val="22"/>
          <w:szCs w:val="22"/>
          <w:lang w:val="en-AU"/>
        </w:rPr>
        <w:t>C</w:t>
      </w:r>
      <w:r w:rsidRPr="0082018E">
        <w:rPr>
          <w:rFonts w:cstheme="minorHAnsi"/>
          <w:b/>
          <w:bCs/>
          <w:sz w:val="22"/>
          <w:szCs w:val="22"/>
          <w:lang w:val="en-AU"/>
        </w:rPr>
        <w:t>o</w:t>
      </w:r>
      <w:r w:rsidR="00A874A1" w:rsidRPr="0082018E">
        <w:rPr>
          <w:rFonts w:cstheme="minorHAnsi"/>
          <w:b/>
          <w:bCs/>
          <w:sz w:val="22"/>
          <w:szCs w:val="22"/>
          <w:lang w:val="en-AU"/>
        </w:rPr>
        <w:t>nclusions</w:t>
      </w:r>
    </w:p>
    <w:p w:rsidR="0082018E" w:rsidRDefault="00A874A1" w:rsidP="00A874A1">
      <w:pPr>
        <w:spacing w:after="120"/>
        <w:ind w:right="-6"/>
        <w:jc w:val="both"/>
        <w:rPr>
          <w:rFonts w:cstheme="minorHAnsi"/>
          <w:iCs/>
          <w:lang w:val="en-GB"/>
        </w:rPr>
      </w:pPr>
      <w:r>
        <w:rPr>
          <w:rFonts w:cstheme="minorHAnsi"/>
          <w:lang w:val="en-AU"/>
        </w:rPr>
        <w:t>VPL</w:t>
      </w:r>
      <w:r w:rsidRPr="00703210">
        <w:rPr>
          <w:rFonts w:cstheme="minorHAnsi"/>
          <w:lang w:val="en-AU"/>
        </w:rPr>
        <w:t xml:space="preserve"> is acknowledged for opening learning opportunities for </w:t>
      </w:r>
      <w:r w:rsidR="0082018E">
        <w:rPr>
          <w:rFonts w:cstheme="minorHAnsi"/>
          <w:lang w:val="en-AU"/>
        </w:rPr>
        <w:t>newcomers</w:t>
      </w:r>
      <w:r w:rsidRPr="00703210">
        <w:rPr>
          <w:rFonts w:cstheme="minorHAnsi"/>
          <w:lang w:val="en-AU"/>
        </w:rPr>
        <w:t xml:space="preserve"> by recognising and valuing what they </w:t>
      </w:r>
      <w:r w:rsidR="0082018E">
        <w:rPr>
          <w:rFonts w:cstheme="minorHAnsi"/>
          <w:lang w:val="en-AU"/>
        </w:rPr>
        <w:t>already</w:t>
      </w:r>
      <w:r w:rsidRPr="00703210">
        <w:rPr>
          <w:rFonts w:cstheme="minorHAnsi"/>
          <w:lang w:val="en-AU"/>
        </w:rPr>
        <w:t xml:space="preserve"> le</w:t>
      </w:r>
      <w:r>
        <w:rPr>
          <w:rFonts w:cstheme="minorHAnsi"/>
          <w:lang w:val="en-AU"/>
        </w:rPr>
        <w:t xml:space="preserve">arned. </w:t>
      </w:r>
      <w:r w:rsidR="0082018E">
        <w:rPr>
          <w:rFonts w:cstheme="minorHAnsi"/>
          <w:iCs/>
          <w:lang w:val="en-GB"/>
        </w:rPr>
        <w:t>This</w:t>
      </w:r>
      <w:r>
        <w:rPr>
          <w:rFonts w:cstheme="minorHAnsi"/>
          <w:iCs/>
          <w:lang w:val="en-GB"/>
        </w:rPr>
        <w:t xml:space="preserve"> analysis </w:t>
      </w:r>
      <w:r w:rsidR="0082018E">
        <w:rPr>
          <w:rFonts w:cstheme="minorHAnsi"/>
          <w:iCs/>
          <w:lang w:val="en-GB"/>
        </w:rPr>
        <w:t>answers</w:t>
      </w:r>
      <w:r>
        <w:rPr>
          <w:rFonts w:cstheme="minorHAnsi"/>
          <w:iCs/>
          <w:lang w:val="en-GB"/>
        </w:rPr>
        <w:t xml:space="preserve"> the questions of </w:t>
      </w:r>
      <w:r w:rsidRPr="00703210">
        <w:rPr>
          <w:rFonts w:cstheme="minorHAnsi"/>
          <w:iCs/>
          <w:lang w:val="en-GB"/>
        </w:rPr>
        <w:t xml:space="preserve">how and to what extent </w:t>
      </w:r>
      <w:r>
        <w:rPr>
          <w:rFonts w:cstheme="minorHAnsi"/>
          <w:iCs/>
          <w:lang w:val="en-GB"/>
        </w:rPr>
        <w:t>VPL</w:t>
      </w:r>
      <w:r w:rsidRPr="00703210">
        <w:rPr>
          <w:rFonts w:cstheme="minorHAnsi"/>
          <w:iCs/>
          <w:lang w:val="en-GB"/>
        </w:rPr>
        <w:t xml:space="preserve"> </w:t>
      </w:r>
      <w:r>
        <w:rPr>
          <w:rFonts w:cstheme="minorHAnsi"/>
          <w:iCs/>
          <w:lang w:val="en-GB"/>
        </w:rPr>
        <w:t xml:space="preserve">is </w:t>
      </w:r>
      <w:r w:rsidRPr="00703210">
        <w:rPr>
          <w:rFonts w:cstheme="minorHAnsi"/>
          <w:iCs/>
          <w:lang w:val="en-GB"/>
        </w:rPr>
        <w:t xml:space="preserve">facilitated </w:t>
      </w:r>
      <w:r>
        <w:rPr>
          <w:rFonts w:cstheme="minorHAnsi"/>
          <w:iCs/>
          <w:lang w:val="en-GB"/>
        </w:rPr>
        <w:t xml:space="preserve">in </w:t>
      </w:r>
      <w:r w:rsidR="0082018E">
        <w:rPr>
          <w:rFonts w:cstheme="minorHAnsi"/>
          <w:iCs/>
          <w:lang w:val="en-GB"/>
        </w:rPr>
        <w:t xml:space="preserve">Europe’s </w:t>
      </w:r>
      <w:r>
        <w:rPr>
          <w:rFonts w:cstheme="minorHAnsi"/>
          <w:iCs/>
          <w:lang w:val="en-GB"/>
        </w:rPr>
        <w:t xml:space="preserve">HEIs </w:t>
      </w:r>
      <w:r w:rsidRPr="00703210">
        <w:rPr>
          <w:rFonts w:cstheme="minorHAnsi"/>
          <w:iCs/>
          <w:lang w:val="en-GB"/>
        </w:rPr>
        <w:t xml:space="preserve">and how this </w:t>
      </w:r>
      <w:r w:rsidR="0082018E">
        <w:rPr>
          <w:rFonts w:cstheme="minorHAnsi"/>
          <w:iCs/>
          <w:lang w:val="en-GB"/>
        </w:rPr>
        <w:t>enhances the newcomer’s inclusion. The main conclusions are fourfold.</w:t>
      </w:r>
    </w:p>
    <w:p w:rsidR="00A874A1" w:rsidRDefault="0082018E" w:rsidP="00A874A1">
      <w:pPr>
        <w:spacing w:after="120"/>
        <w:ind w:right="-6"/>
        <w:jc w:val="both"/>
        <w:rPr>
          <w:rFonts w:cstheme="minorHAnsi"/>
          <w:lang w:val="en-AU"/>
        </w:rPr>
      </w:pPr>
      <w:r>
        <w:rPr>
          <w:rFonts w:cstheme="minorHAnsi"/>
          <w:lang w:val="en-AU"/>
        </w:rPr>
        <w:t>I</w:t>
      </w:r>
      <w:r w:rsidR="00A874A1" w:rsidRPr="00A874A1">
        <w:rPr>
          <w:rFonts w:cstheme="minorHAnsi"/>
          <w:u w:val="single"/>
          <w:lang w:val="en-AU"/>
        </w:rPr>
        <w:t>nformation</w:t>
      </w:r>
      <w:r w:rsidR="00EC3FF0">
        <w:rPr>
          <w:rFonts w:cstheme="minorHAnsi"/>
          <w:u w:val="single"/>
          <w:lang w:val="en-AU"/>
        </w:rPr>
        <w:t>-</w:t>
      </w:r>
      <w:r w:rsidR="00A874A1" w:rsidRPr="00A874A1">
        <w:rPr>
          <w:rFonts w:cstheme="minorHAnsi"/>
          <w:u w:val="single"/>
          <w:lang w:val="en-AU"/>
        </w:rPr>
        <w:t>provision on VPL</w:t>
      </w:r>
      <w:r>
        <w:rPr>
          <w:rFonts w:cstheme="minorHAnsi"/>
          <w:lang w:val="en-AU"/>
        </w:rPr>
        <w:t xml:space="preserve">, including </w:t>
      </w:r>
      <w:r w:rsidR="00A874A1" w:rsidRPr="00F33809">
        <w:rPr>
          <w:rFonts w:cstheme="minorHAnsi"/>
          <w:lang w:val="en-AU"/>
        </w:rPr>
        <w:t>guidance services play</w:t>
      </w:r>
      <w:r>
        <w:rPr>
          <w:rFonts w:cstheme="minorHAnsi"/>
          <w:lang w:val="en-AU"/>
        </w:rPr>
        <w:t>s</w:t>
      </w:r>
      <w:r w:rsidR="00A874A1" w:rsidRPr="00F33809">
        <w:rPr>
          <w:rFonts w:cstheme="minorHAnsi"/>
          <w:lang w:val="en-AU"/>
        </w:rPr>
        <w:t xml:space="preserve"> an important role in the utilisation of </w:t>
      </w:r>
      <w:r w:rsidR="00A874A1">
        <w:rPr>
          <w:rFonts w:cstheme="minorHAnsi"/>
          <w:lang w:val="en-AU"/>
        </w:rPr>
        <w:t>VPL</w:t>
      </w:r>
      <w:r w:rsidR="00A874A1" w:rsidRPr="00F33809">
        <w:rPr>
          <w:rFonts w:cstheme="minorHAnsi"/>
          <w:lang w:val="en-AU"/>
        </w:rPr>
        <w:t xml:space="preserve"> by the target groups. Information and guidance are the so-called ‘front-office’ for </w:t>
      </w:r>
      <w:r w:rsidR="00EC3FF0">
        <w:rPr>
          <w:rFonts w:cstheme="minorHAnsi"/>
          <w:lang w:val="en-AU"/>
        </w:rPr>
        <w:t xml:space="preserve">raising awareness of the potential of </w:t>
      </w:r>
      <w:r w:rsidR="00EC3FF0" w:rsidRPr="00F33809">
        <w:rPr>
          <w:rFonts w:cstheme="minorHAnsi"/>
          <w:lang w:val="en-AU"/>
        </w:rPr>
        <w:t>people’s</w:t>
      </w:r>
      <w:r w:rsidR="00A874A1" w:rsidRPr="00F33809">
        <w:rPr>
          <w:rFonts w:cstheme="minorHAnsi"/>
          <w:lang w:val="en-AU"/>
        </w:rPr>
        <w:t xml:space="preserve"> prior learning experiences on HE-levels. </w:t>
      </w:r>
      <w:r w:rsidR="00A874A1">
        <w:rPr>
          <w:rFonts w:cstheme="minorHAnsi"/>
          <w:lang w:val="en-AU"/>
        </w:rPr>
        <w:t>HE-</w:t>
      </w:r>
      <w:r w:rsidR="00A874A1" w:rsidRPr="00F33809">
        <w:rPr>
          <w:rFonts w:cstheme="minorHAnsi"/>
          <w:lang w:val="en-AU"/>
        </w:rPr>
        <w:t>staff need</w:t>
      </w:r>
      <w:r w:rsidR="00EC3FF0">
        <w:rPr>
          <w:rFonts w:cstheme="minorHAnsi"/>
          <w:lang w:val="en-AU"/>
        </w:rPr>
        <w:t>s</w:t>
      </w:r>
      <w:r w:rsidR="00A874A1" w:rsidRPr="00F33809">
        <w:rPr>
          <w:rFonts w:cstheme="minorHAnsi"/>
          <w:lang w:val="en-AU"/>
        </w:rPr>
        <w:t xml:space="preserve"> to be well-trained in guidance </w:t>
      </w:r>
      <w:r w:rsidR="00EC3FF0">
        <w:rPr>
          <w:rFonts w:cstheme="minorHAnsi"/>
          <w:lang w:val="en-AU"/>
        </w:rPr>
        <w:t xml:space="preserve">and </w:t>
      </w:r>
      <w:r w:rsidR="00A874A1" w:rsidRPr="00F33809">
        <w:rPr>
          <w:rFonts w:cstheme="minorHAnsi"/>
          <w:lang w:val="en-AU"/>
        </w:rPr>
        <w:t xml:space="preserve">to be able to overlook the </w:t>
      </w:r>
      <w:r w:rsidR="00EC3FF0">
        <w:rPr>
          <w:rFonts w:cstheme="minorHAnsi"/>
          <w:lang w:val="en-AU"/>
        </w:rPr>
        <w:t>integral</w:t>
      </w:r>
      <w:r w:rsidR="00A874A1" w:rsidRPr="00F33809">
        <w:rPr>
          <w:rFonts w:cstheme="minorHAnsi"/>
          <w:lang w:val="en-AU"/>
        </w:rPr>
        <w:t xml:space="preserve"> process of </w:t>
      </w:r>
      <w:r w:rsidR="00A874A1">
        <w:rPr>
          <w:rFonts w:cstheme="minorHAnsi"/>
          <w:lang w:val="en-AU"/>
        </w:rPr>
        <w:t>VPL</w:t>
      </w:r>
      <w:r w:rsidR="00A874A1" w:rsidRPr="00F33809">
        <w:rPr>
          <w:rFonts w:cstheme="minorHAnsi"/>
          <w:lang w:val="en-AU"/>
        </w:rPr>
        <w:t xml:space="preserve"> </w:t>
      </w:r>
      <w:r w:rsidR="00EC3FF0">
        <w:rPr>
          <w:rFonts w:cstheme="minorHAnsi"/>
          <w:lang w:val="en-AU"/>
        </w:rPr>
        <w:t>and</w:t>
      </w:r>
      <w:r w:rsidR="00A874A1" w:rsidRPr="00F33809">
        <w:rPr>
          <w:rFonts w:cstheme="minorHAnsi"/>
          <w:lang w:val="en-AU"/>
        </w:rPr>
        <w:t xml:space="preserve"> further learning programming. </w:t>
      </w:r>
    </w:p>
    <w:p w:rsidR="00A874A1" w:rsidRDefault="00EC3FF0" w:rsidP="00A874A1">
      <w:pPr>
        <w:spacing w:after="120"/>
        <w:ind w:right="-6"/>
        <w:jc w:val="both"/>
        <w:rPr>
          <w:rFonts w:cstheme="minorHAnsi"/>
          <w:lang w:val="en-AU"/>
        </w:rPr>
      </w:pPr>
      <w:r>
        <w:rPr>
          <w:rFonts w:cstheme="minorHAnsi"/>
          <w:u w:val="single"/>
          <w:lang w:val="en-AU"/>
        </w:rPr>
        <w:t>R</w:t>
      </w:r>
      <w:r w:rsidR="00A874A1" w:rsidRPr="00A874A1">
        <w:rPr>
          <w:rFonts w:cstheme="minorHAnsi"/>
          <w:u w:val="single"/>
          <w:lang w:val="en-AU"/>
        </w:rPr>
        <w:t xml:space="preserve">esponsibilities of </w:t>
      </w:r>
      <w:r>
        <w:rPr>
          <w:rFonts w:cstheme="minorHAnsi"/>
          <w:u w:val="single"/>
          <w:lang w:val="en-AU"/>
        </w:rPr>
        <w:t>all VPL-</w:t>
      </w:r>
      <w:r w:rsidR="00A874A1" w:rsidRPr="00A874A1">
        <w:rPr>
          <w:rFonts w:cstheme="minorHAnsi"/>
          <w:u w:val="single"/>
          <w:lang w:val="en-AU"/>
        </w:rPr>
        <w:t>actors</w:t>
      </w:r>
      <w:r w:rsidR="00A874A1" w:rsidRPr="00A359D9">
        <w:rPr>
          <w:rFonts w:cstheme="minorHAnsi"/>
          <w:lang w:val="en-AU"/>
        </w:rPr>
        <w:t xml:space="preserve"> are linked to specific purposes </w:t>
      </w:r>
      <w:r w:rsidR="00A874A1">
        <w:rPr>
          <w:rFonts w:cstheme="minorHAnsi"/>
          <w:lang w:val="en-AU"/>
        </w:rPr>
        <w:t xml:space="preserve">for engaging in VPL-processes. </w:t>
      </w:r>
      <w:r w:rsidR="00A874A1" w:rsidRPr="00A359D9">
        <w:rPr>
          <w:rFonts w:cstheme="minorHAnsi"/>
          <w:lang w:val="en-AU"/>
        </w:rPr>
        <w:t xml:space="preserve">Many objectives </w:t>
      </w:r>
      <w:r>
        <w:rPr>
          <w:rFonts w:cstheme="minorHAnsi"/>
          <w:lang w:val="en-AU"/>
        </w:rPr>
        <w:t>may</w:t>
      </w:r>
      <w:r w:rsidR="00A874A1" w:rsidRPr="00A359D9">
        <w:rPr>
          <w:rFonts w:cstheme="minorHAnsi"/>
          <w:lang w:val="en-AU"/>
        </w:rPr>
        <w:t xml:space="preserve"> occur in</w:t>
      </w:r>
      <w:r>
        <w:rPr>
          <w:rFonts w:cstheme="minorHAnsi"/>
          <w:lang w:val="en-AU"/>
        </w:rPr>
        <w:t xml:space="preserve"> </w:t>
      </w:r>
      <w:r w:rsidR="00A874A1" w:rsidRPr="00A359D9">
        <w:rPr>
          <w:rFonts w:cstheme="minorHAnsi"/>
          <w:lang w:val="en-AU"/>
        </w:rPr>
        <w:t>specific national or sector context</w:t>
      </w:r>
      <w:r>
        <w:rPr>
          <w:rFonts w:cstheme="minorHAnsi"/>
          <w:lang w:val="en-AU"/>
        </w:rPr>
        <w:t>s</w:t>
      </w:r>
      <w:r w:rsidR="00A874A1" w:rsidRPr="00A359D9">
        <w:rPr>
          <w:rFonts w:cstheme="minorHAnsi"/>
          <w:lang w:val="en-AU"/>
        </w:rPr>
        <w:t>, especially since the true impact</w:t>
      </w:r>
      <w:r w:rsidR="00A874A1">
        <w:rPr>
          <w:rFonts w:cstheme="minorHAnsi"/>
          <w:lang w:val="en-AU"/>
        </w:rPr>
        <w:t xml:space="preserve"> of VPL</w:t>
      </w:r>
      <w:r w:rsidR="00A874A1" w:rsidRPr="00A359D9">
        <w:rPr>
          <w:rFonts w:cstheme="minorHAnsi"/>
          <w:lang w:val="en-AU"/>
        </w:rPr>
        <w:t xml:space="preserve"> lies in the combination of certification, strengthening one’s self-esteem and articulation of competence-needs of </w:t>
      </w:r>
      <w:r w:rsidR="00A874A1">
        <w:rPr>
          <w:rFonts w:cstheme="minorHAnsi"/>
          <w:lang w:val="en-AU"/>
        </w:rPr>
        <w:t>learners</w:t>
      </w:r>
      <w:r w:rsidR="00A874A1" w:rsidRPr="00A359D9">
        <w:rPr>
          <w:rFonts w:cstheme="minorHAnsi"/>
          <w:lang w:val="en-AU"/>
        </w:rPr>
        <w:t xml:space="preserve">. In this way, </w:t>
      </w:r>
      <w:r w:rsidR="00A874A1" w:rsidRPr="00A359D9">
        <w:rPr>
          <w:rFonts w:cstheme="minorHAnsi"/>
          <w:lang w:val="en-AU"/>
        </w:rPr>
        <w:lastRenderedPageBreak/>
        <w:t xml:space="preserve">all </w:t>
      </w:r>
      <w:r>
        <w:rPr>
          <w:rFonts w:cstheme="minorHAnsi"/>
          <w:lang w:val="en-AU"/>
        </w:rPr>
        <w:t>VPL-actors</w:t>
      </w:r>
      <w:r w:rsidR="00A874A1" w:rsidRPr="00A359D9">
        <w:rPr>
          <w:rFonts w:cstheme="minorHAnsi"/>
          <w:lang w:val="en-AU"/>
        </w:rPr>
        <w:t xml:space="preserve"> cooperate in a holistic way by interlinking each other’s objectives and responsibilities.</w:t>
      </w:r>
      <w:r w:rsidR="00A874A1">
        <w:rPr>
          <w:rFonts w:cstheme="minorHAnsi"/>
          <w:lang w:val="en-AU"/>
        </w:rPr>
        <w:t xml:space="preserve"> </w:t>
      </w:r>
      <w:r>
        <w:rPr>
          <w:rFonts w:cstheme="minorHAnsi"/>
          <w:lang w:val="en-AU"/>
        </w:rPr>
        <w:t xml:space="preserve">In such a holistic ‘adventure’ </w:t>
      </w:r>
      <w:r w:rsidR="00A874A1">
        <w:rPr>
          <w:rFonts w:cstheme="minorHAnsi"/>
          <w:lang w:val="en-AU"/>
        </w:rPr>
        <w:t xml:space="preserve">all </w:t>
      </w:r>
      <w:r>
        <w:rPr>
          <w:rFonts w:cstheme="minorHAnsi"/>
          <w:lang w:val="en-AU"/>
        </w:rPr>
        <w:t>actors</w:t>
      </w:r>
      <w:r w:rsidR="00A874A1">
        <w:rPr>
          <w:rFonts w:cstheme="minorHAnsi"/>
          <w:lang w:val="en-AU"/>
        </w:rPr>
        <w:t xml:space="preserve"> </w:t>
      </w:r>
      <w:r>
        <w:rPr>
          <w:rFonts w:cstheme="minorHAnsi"/>
          <w:lang w:val="en-AU"/>
        </w:rPr>
        <w:t>taking</w:t>
      </w:r>
      <w:r w:rsidR="00A874A1">
        <w:rPr>
          <w:rFonts w:cstheme="minorHAnsi"/>
          <w:lang w:val="en-AU"/>
        </w:rPr>
        <w:t xml:space="preserve"> their responsibility and </w:t>
      </w:r>
      <w:r>
        <w:rPr>
          <w:rFonts w:cstheme="minorHAnsi"/>
          <w:lang w:val="en-AU"/>
        </w:rPr>
        <w:t>affording</w:t>
      </w:r>
      <w:r w:rsidR="00A874A1">
        <w:rPr>
          <w:rFonts w:cstheme="minorHAnsi"/>
          <w:lang w:val="en-AU"/>
        </w:rPr>
        <w:t xml:space="preserve"> access to HE </w:t>
      </w:r>
      <w:proofErr w:type="gramStart"/>
      <w:r>
        <w:rPr>
          <w:rFonts w:cstheme="minorHAnsi"/>
          <w:lang w:val="en-AU"/>
        </w:rPr>
        <w:t>need</w:t>
      </w:r>
      <w:proofErr w:type="gramEnd"/>
      <w:r>
        <w:rPr>
          <w:rFonts w:cstheme="minorHAnsi"/>
          <w:lang w:val="en-AU"/>
        </w:rPr>
        <w:t xml:space="preserve"> to have</w:t>
      </w:r>
      <w:r w:rsidR="00A874A1">
        <w:rPr>
          <w:rFonts w:cstheme="minorHAnsi"/>
          <w:lang w:val="en-AU"/>
        </w:rPr>
        <w:t xml:space="preserve"> an open mind to </w:t>
      </w:r>
      <w:r>
        <w:rPr>
          <w:rFonts w:cstheme="minorHAnsi"/>
          <w:lang w:val="en-AU"/>
        </w:rPr>
        <w:t>formal, non-formal and informal</w:t>
      </w:r>
      <w:r w:rsidR="00A874A1">
        <w:rPr>
          <w:rFonts w:cstheme="minorHAnsi"/>
          <w:lang w:val="en-AU"/>
        </w:rPr>
        <w:t xml:space="preserve"> learning experiences</w:t>
      </w:r>
      <w:r>
        <w:rPr>
          <w:rFonts w:cstheme="minorHAnsi"/>
          <w:lang w:val="en-AU"/>
        </w:rPr>
        <w:t xml:space="preserve"> This </w:t>
      </w:r>
      <w:r w:rsidR="00A874A1">
        <w:rPr>
          <w:rFonts w:cstheme="minorHAnsi"/>
          <w:lang w:val="en-AU"/>
        </w:rPr>
        <w:t>is importan</w:t>
      </w:r>
      <w:r>
        <w:rPr>
          <w:rFonts w:cstheme="minorHAnsi"/>
          <w:lang w:val="en-AU"/>
        </w:rPr>
        <w:t>t for</w:t>
      </w:r>
      <w:r w:rsidR="00A874A1">
        <w:rPr>
          <w:rFonts w:cstheme="minorHAnsi"/>
          <w:lang w:val="en-AU"/>
        </w:rPr>
        <w:t xml:space="preserve"> </w:t>
      </w:r>
      <w:r w:rsidR="00A874A1" w:rsidRPr="00A359D9">
        <w:rPr>
          <w:rFonts w:cstheme="minorHAnsi"/>
          <w:lang w:val="en-AU"/>
        </w:rPr>
        <w:t xml:space="preserve">creating impact of </w:t>
      </w:r>
      <w:r w:rsidR="00A874A1">
        <w:rPr>
          <w:rFonts w:cstheme="minorHAnsi"/>
          <w:lang w:val="en-AU"/>
        </w:rPr>
        <w:t>VPL</w:t>
      </w:r>
      <w:r w:rsidR="00A874A1" w:rsidRPr="00A359D9">
        <w:rPr>
          <w:rFonts w:cstheme="minorHAnsi"/>
          <w:lang w:val="en-AU"/>
        </w:rPr>
        <w:t xml:space="preserve"> on individual level. </w:t>
      </w:r>
      <w:r>
        <w:rPr>
          <w:rFonts w:cstheme="minorHAnsi"/>
          <w:lang w:val="en-AU"/>
        </w:rPr>
        <w:t>It</w:t>
      </w:r>
      <w:r w:rsidR="00A874A1" w:rsidRPr="00A359D9">
        <w:rPr>
          <w:rFonts w:cstheme="minorHAnsi"/>
          <w:lang w:val="en-AU"/>
        </w:rPr>
        <w:t xml:space="preserve"> entails giving </w:t>
      </w:r>
      <w:r>
        <w:rPr>
          <w:rFonts w:cstheme="minorHAnsi"/>
          <w:lang w:val="en-AU"/>
        </w:rPr>
        <w:t>‘</w:t>
      </w:r>
      <w:r w:rsidR="00A874A1" w:rsidRPr="00A359D9">
        <w:rPr>
          <w:rFonts w:cstheme="minorHAnsi"/>
          <w:lang w:val="en-AU"/>
        </w:rPr>
        <w:t>a voice to the learner</w:t>
      </w:r>
      <w:r>
        <w:rPr>
          <w:rFonts w:cstheme="minorHAnsi"/>
          <w:lang w:val="en-AU"/>
        </w:rPr>
        <w:t>’</w:t>
      </w:r>
      <w:r w:rsidR="00A874A1" w:rsidRPr="00A359D9">
        <w:rPr>
          <w:rFonts w:cstheme="minorHAnsi"/>
          <w:lang w:val="en-AU"/>
        </w:rPr>
        <w:t>. This works out best if the learner can get a grip on social perspectives assiste</w:t>
      </w:r>
      <w:r>
        <w:rPr>
          <w:rFonts w:cstheme="minorHAnsi"/>
          <w:lang w:val="en-AU"/>
        </w:rPr>
        <w:t>d by</w:t>
      </w:r>
      <w:r w:rsidR="00A874A1" w:rsidRPr="00A359D9">
        <w:rPr>
          <w:rFonts w:cstheme="minorHAnsi"/>
          <w:lang w:val="en-AU"/>
        </w:rPr>
        <w:t xml:space="preserve"> the </w:t>
      </w:r>
      <w:r w:rsidR="00A874A1">
        <w:rPr>
          <w:rFonts w:cstheme="minorHAnsi"/>
          <w:lang w:val="en-AU"/>
        </w:rPr>
        <w:t>VPL-</w:t>
      </w:r>
      <w:r w:rsidR="00A874A1" w:rsidRPr="00A359D9">
        <w:rPr>
          <w:rFonts w:cstheme="minorHAnsi"/>
          <w:lang w:val="en-AU"/>
        </w:rPr>
        <w:t xml:space="preserve">process. Creating </w:t>
      </w:r>
      <w:r>
        <w:rPr>
          <w:rFonts w:cstheme="minorHAnsi"/>
          <w:lang w:val="en-AU"/>
        </w:rPr>
        <w:t xml:space="preserve">such </w:t>
      </w:r>
      <w:r w:rsidR="00A874A1" w:rsidRPr="00A359D9">
        <w:rPr>
          <w:rFonts w:cstheme="minorHAnsi"/>
          <w:lang w:val="en-AU"/>
        </w:rPr>
        <w:t xml:space="preserve">perspective is, next to good-quality guidance and assessment, a critical success factor of </w:t>
      </w:r>
      <w:r w:rsidR="00A874A1">
        <w:rPr>
          <w:rFonts w:cstheme="minorHAnsi"/>
          <w:lang w:val="en-AU"/>
        </w:rPr>
        <w:t>VPL in HEIs.</w:t>
      </w:r>
    </w:p>
    <w:p w:rsidR="00A874A1" w:rsidRDefault="00A874A1" w:rsidP="00A874A1">
      <w:pPr>
        <w:spacing w:after="120"/>
        <w:ind w:right="-6"/>
        <w:jc w:val="both"/>
        <w:rPr>
          <w:rFonts w:cstheme="minorHAnsi"/>
          <w:lang w:val="en-AU"/>
        </w:rPr>
      </w:pPr>
      <w:r w:rsidRPr="0025630E">
        <w:rPr>
          <w:rFonts w:cstheme="minorHAnsi"/>
          <w:lang w:val="en-AU"/>
        </w:rPr>
        <w:t xml:space="preserve">The </w:t>
      </w:r>
      <w:r w:rsidRPr="00A874A1">
        <w:rPr>
          <w:rFonts w:cstheme="minorHAnsi"/>
          <w:u w:val="single"/>
          <w:lang w:val="en-AU"/>
        </w:rPr>
        <w:t>objectives and impact of VPL in HEIs</w:t>
      </w:r>
      <w:r w:rsidRPr="0025630E">
        <w:rPr>
          <w:rFonts w:cstheme="minorHAnsi"/>
          <w:lang w:val="en-AU"/>
        </w:rPr>
        <w:t xml:space="preserve"> are tied in with the four main rationales for integrating </w:t>
      </w:r>
      <w:r>
        <w:rPr>
          <w:rFonts w:cstheme="minorHAnsi"/>
          <w:lang w:val="en-AU"/>
        </w:rPr>
        <w:t>VPL</w:t>
      </w:r>
      <w:r w:rsidRPr="0025630E">
        <w:rPr>
          <w:rFonts w:cstheme="minorHAnsi"/>
          <w:lang w:val="en-AU"/>
        </w:rPr>
        <w:t xml:space="preserve"> in a specific national, sector or regional context: educational, employability, HRD and lifelong learning. The educational rationale in which obtaining exemptions for a partial or a full qualification prevails in most countries and regions. Next to that economically motivated usage of </w:t>
      </w:r>
      <w:r>
        <w:rPr>
          <w:rFonts w:cstheme="minorHAnsi"/>
          <w:lang w:val="en-AU"/>
        </w:rPr>
        <w:t>VPL</w:t>
      </w:r>
      <w:r w:rsidRPr="0025630E">
        <w:rPr>
          <w:rFonts w:cstheme="minorHAnsi"/>
          <w:lang w:val="en-AU"/>
        </w:rPr>
        <w:t xml:space="preserve"> on HE-levels that takes care of competence recognition and employability for career motives is a clear runner-up as main driver. The more socially engaged </w:t>
      </w:r>
      <w:r>
        <w:rPr>
          <w:rFonts w:cstheme="minorHAnsi"/>
          <w:lang w:val="en-AU"/>
        </w:rPr>
        <w:t>VPL</w:t>
      </w:r>
      <w:r w:rsidRPr="0025630E">
        <w:rPr>
          <w:rFonts w:cstheme="minorHAnsi"/>
          <w:lang w:val="en-AU"/>
        </w:rPr>
        <w:t xml:space="preserve"> is in fewer countries apparent but it’s a strong driver for governments to face the challenge of dealing with competent but unqualified or underqualified target groups in society. </w:t>
      </w:r>
      <w:r>
        <w:rPr>
          <w:rFonts w:cstheme="minorHAnsi"/>
          <w:lang w:val="en-AU"/>
        </w:rPr>
        <w:t>VPL</w:t>
      </w:r>
      <w:r w:rsidRPr="0025630E">
        <w:rPr>
          <w:rFonts w:cstheme="minorHAnsi"/>
          <w:lang w:val="en-AU"/>
        </w:rPr>
        <w:t xml:space="preserve"> for participative aims in the third or volunteering sector or the civil society is least practiced; only in the Netherlands, and the Scandinavian countries where it is utilised for recognising indigenous values of minority groups or for strengthening the quality in volunteering and civil society activities, there is a clear focus on this level for practicing </w:t>
      </w:r>
      <w:r>
        <w:rPr>
          <w:rFonts w:cstheme="minorHAnsi"/>
          <w:lang w:val="en-AU"/>
        </w:rPr>
        <w:t>VPL</w:t>
      </w:r>
      <w:r w:rsidRPr="0025630E">
        <w:rPr>
          <w:rFonts w:cstheme="minorHAnsi"/>
          <w:lang w:val="en-AU"/>
        </w:rPr>
        <w:t xml:space="preserve"> in HEIs.</w:t>
      </w:r>
    </w:p>
    <w:p w:rsidR="00A874A1" w:rsidRDefault="00A874A1" w:rsidP="00A874A1">
      <w:pPr>
        <w:spacing w:after="120"/>
        <w:ind w:right="-6"/>
        <w:jc w:val="both"/>
        <w:rPr>
          <w:rFonts w:cstheme="minorHAnsi"/>
          <w:iCs/>
          <w:lang w:val="en-AU"/>
        </w:rPr>
      </w:pPr>
      <w:r w:rsidRPr="00EC7EB6">
        <w:rPr>
          <w:rFonts w:cstheme="minorHAnsi"/>
          <w:iCs/>
          <w:lang w:val="en-AU"/>
        </w:rPr>
        <w:t xml:space="preserve">The </w:t>
      </w:r>
      <w:r w:rsidRPr="00A874A1">
        <w:rPr>
          <w:rFonts w:cstheme="minorHAnsi"/>
          <w:iCs/>
          <w:u w:val="single"/>
          <w:lang w:val="en-AU"/>
        </w:rPr>
        <w:t>expertise of VPL staff</w:t>
      </w:r>
      <w:r w:rsidRPr="00EC7EB6">
        <w:rPr>
          <w:rFonts w:cstheme="minorHAnsi"/>
          <w:iCs/>
          <w:lang w:val="en-AU"/>
        </w:rPr>
        <w:t xml:space="preserve"> (portfolio guides, advisors and assessors) is very important in achieving maximum awareness of the value of personal learning experiences when refugees/migrants reach out to HE-levels. Their instrumental expertise equals the importance of them in creating motivation and ambition for accessing/applying </w:t>
      </w:r>
      <w:r>
        <w:rPr>
          <w:rFonts w:cstheme="minorHAnsi"/>
          <w:iCs/>
          <w:lang w:val="en-AU"/>
        </w:rPr>
        <w:t>VPL</w:t>
      </w:r>
      <w:r w:rsidRPr="00EC7EB6">
        <w:rPr>
          <w:rFonts w:cstheme="minorHAnsi"/>
          <w:iCs/>
          <w:lang w:val="en-AU"/>
        </w:rPr>
        <w:t xml:space="preserve"> in HEIs. Furthermore, the quality assurance of a </w:t>
      </w:r>
      <w:r>
        <w:rPr>
          <w:rFonts w:cstheme="minorHAnsi"/>
          <w:iCs/>
          <w:lang w:val="en-AU"/>
        </w:rPr>
        <w:t>VPL</w:t>
      </w:r>
      <w:r w:rsidRPr="00EC7EB6">
        <w:rPr>
          <w:rFonts w:cstheme="minorHAnsi"/>
          <w:iCs/>
          <w:lang w:val="en-AU"/>
        </w:rPr>
        <w:t xml:space="preserve">-system depends on the clear formulation of what the expertise of </w:t>
      </w:r>
      <w:r>
        <w:rPr>
          <w:rFonts w:cstheme="minorHAnsi"/>
          <w:iCs/>
          <w:lang w:val="en-AU"/>
        </w:rPr>
        <w:t>VPL</w:t>
      </w:r>
      <w:r w:rsidRPr="00EC7EB6">
        <w:rPr>
          <w:rFonts w:cstheme="minorHAnsi"/>
          <w:iCs/>
          <w:lang w:val="en-AU"/>
        </w:rPr>
        <w:t>-staff entails, how this expertise is learned and maintained and how staff-members are embedded and accepted in qualification systems and systems of human resources management systems on the labour market and in the third sector</w:t>
      </w:r>
      <w:r>
        <w:rPr>
          <w:rFonts w:cstheme="minorHAnsi"/>
          <w:iCs/>
          <w:lang w:val="en-AU"/>
        </w:rPr>
        <w:t>.</w:t>
      </w:r>
    </w:p>
    <w:p w:rsidR="00A874A1" w:rsidRDefault="00A874A1" w:rsidP="00A874A1">
      <w:pPr>
        <w:spacing w:after="120"/>
        <w:ind w:right="-6"/>
        <w:jc w:val="both"/>
        <w:rPr>
          <w:rFonts w:cstheme="minorHAnsi"/>
          <w:b/>
          <w:bCs/>
          <w:lang w:val="en-GB"/>
        </w:rPr>
      </w:pPr>
    </w:p>
    <w:p w:rsidR="00A874A1" w:rsidRPr="00A874A1" w:rsidRDefault="00A874A1" w:rsidP="00A874A1">
      <w:pPr>
        <w:spacing w:after="120"/>
        <w:ind w:right="-6"/>
        <w:jc w:val="both"/>
        <w:rPr>
          <w:rFonts w:cstheme="minorHAnsi"/>
          <w:b/>
          <w:bCs/>
          <w:sz w:val="22"/>
          <w:szCs w:val="22"/>
          <w:lang w:val="en-GB"/>
        </w:rPr>
      </w:pPr>
      <w:r w:rsidRPr="00A874A1">
        <w:rPr>
          <w:rFonts w:cstheme="minorHAnsi"/>
          <w:b/>
          <w:bCs/>
          <w:sz w:val="22"/>
          <w:szCs w:val="22"/>
          <w:lang w:val="en-GB"/>
        </w:rPr>
        <w:t>Recommendations</w:t>
      </w:r>
    </w:p>
    <w:p w:rsidR="00A874A1" w:rsidRDefault="00A874A1" w:rsidP="00A874A1">
      <w:pPr>
        <w:spacing w:after="120"/>
        <w:ind w:right="-6"/>
        <w:jc w:val="both"/>
        <w:rPr>
          <w:rFonts w:cstheme="minorHAnsi"/>
          <w:lang w:val="en-AU"/>
        </w:rPr>
      </w:pPr>
      <w:r w:rsidRPr="007364FA">
        <w:rPr>
          <w:rFonts w:cstheme="minorHAnsi"/>
          <w:lang w:val="en-AU"/>
        </w:rPr>
        <w:t xml:space="preserve">A number of </w:t>
      </w:r>
      <w:r>
        <w:rPr>
          <w:rFonts w:cstheme="minorHAnsi"/>
          <w:lang w:val="en-AU"/>
        </w:rPr>
        <w:t>recommendations</w:t>
      </w:r>
      <w:r w:rsidRPr="007364FA">
        <w:rPr>
          <w:rFonts w:cstheme="minorHAnsi"/>
          <w:lang w:val="en-AU"/>
        </w:rPr>
        <w:t xml:space="preserve"> or challenges to anchoring </w:t>
      </w:r>
      <w:r>
        <w:rPr>
          <w:rFonts w:cstheme="minorHAnsi"/>
          <w:lang w:val="en-AU"/>
        </w:rPr>
        <w:t>VPL</w:t>
      </w:r>
      <w:r w:rsidRPr="007364FA">
        <w:rPr>
          <w:rFonts w:cstheme="minorHAnsi"/>
          <w:lang w:val="en-AU"/>
        </w:rPr>
        <w:t xml:space="preserve"> in </w:t>
      </w:r>
      <w:r>
        <w:rPr>
          <w:rFonts w:cstheme="minorHAnsi"/>
          <w:lang w:val="en-AU"/>
        </w:rPr>
        <w:t xml:space="preserve">HEIs for refugees and migrants </w:t>
      </w:r>
      <w:r w:rsidRPr="007364FA">
        <w:rPr>
          <w:rFonts w:cstheme="minorHAnsi"/>
          <w:lang w:val="en-AU"/>
        </w:rPr>
        <w:t xml:space="preserve">can be formulated when overlooking the </w:t>
      </w:r>
      <w:r>
        <w:rPr>
          <w:rFonts w:cstheme="minorHAnsi"/>
          <w:lang w:val="en-AU"/>
        </w:rPr>
        <w:t xml:space="preserve">conclusions based on </w:t>
      </w:r>
      <w:r w:rsidRPr="00703210">
        <w:rPr>
          <w:rFonts w:cstheme="minorHAnsi"/>
          <w:lang w:val="en-AU"/>
        </w:rPr>
        <w:t xml:space="preserve">the information provided in the country cases as well as the </w:t>
      </w:r>
      <w:r>
        <w:rPr>
          <w:rFonts w:cstheme="minorHAnsi"/>
          <w:lang w:val="en-AU"/>
        </w:rPr>
        <w:t>individual cases.</w:t>
      </w:r>
    </w:p>
    <w:p w:rsidR="00A874A1" w:rsidRPr="007364FA" w:rsidRDefault="00A874A1" w:rsidP="00A874A1">
      <w:pPr>
        <w:spacing w:before="120"/>
        <w:ind w:right="-6"/>
        <w:jc w:val="both"/>
        <w:rPr>
          <w:rFonts w:cstheme="minorHAnsi"/>
          <w:lang w:val="en-AU"/>
        </w:rPr>
      </w:pPr>
      <w:r w:rsidRPr="007364FA">
        <w:rPr>
          <w:rFonts w:cstheme="minorHAnsi"/>
          <w:lang w:val="en-AU"/>
        </w:rPr>
        <w:t xml:space="preserve">Moving from policy to practice is imperative to creating more inclusive </w:t>
      </w:r>
      <w:r>
        <w:rPr>
          <w:rFonts w:cstheme="minorHAnsi"/>
          <w:lang w:val="en-AU"/>
        </w:rPr>
        <w:t>HEI</w:t>
      </w:r>
      <w:r w:rsidRPr="007364FA">
        <w:rPr>
          <w:rFonts w:cstheme="minorHAnsi"/>
          <w:lang w:val="en-AU"/>
        </w:rPr>
        <w:t>.</w:t>
      </w:r>
      <w:r>
        <w:rPr>
          <w:rFonts w:cstheme="minorHAnsi"/>
          <w:lang w:val="en-AU"/>
        </w:rPr>
        <w:t>s</w:t>
      </w:r>
      <w:r w:rsidRPr="007364FA">
        <w:rPr>
          <w:rFonts w:cstheme="minorHAnsi"/>
          <w:lang w:val="en-AU"/>
        </w:rPr>
        <w:t xml:space="preserve"> </w:t>
      </w:r>
      <w:r>
        <w:rPr>
          <w:rFonts w:cstheme="minorHAnsi"/>
          <w:lang w:val="en-AU"/>
        </w:rPr>
        <w:t>VPL</w:t>
      </w:r>
      <w:r w:rsidRPr="007364FA">
        <w:rPr>
          <w:rFonts w:cstheme="minorHAnsi"/>
          <w:lang w:val="en-AU"/>
        </w:rPr>
        <w:t xml:space="preserve"> is recognisable as a key component for the individual´s possibility to manage shifts in modern life in terms of lifelong learning and career-guidance. This is also the case for refugees and migrants trying to build up a career in a new country. To make </w:t>
      </w:r>
      <w:r>
        <w:rPr>
          <w:rFonts w:cstheme="minorHAnsi"/>
          <w:lang w:val="en-AU"/>
        </w:rPr>
        <w:t>VPL</w:t>
      </w:r>
      <w:r w:rsidRPr="007364FA">
        <w:rPr>
          <w:rFonts w:cstheme="minorHAnsi"/>
          <w:lang w:val="en-AU"/>
        </w:rPr>
        <w:t xml:space="preserve"> a core element in </w:t>
      </w:r>
      <w:r>
        <w:rPr>
          <w:rFonts w:cstheme="minorHAnsi"/>
          <w:lang w:val="en-AU"/>
        </w:rPr>
        <w:t>integration/participation in the new country</w:t>
      </w:r>
      <w:r w:rsidRPr="007364FA">
        <w:rPr>
          <w:rFonts w:cstheme="minorHAnsi"/>
          <w:lang w:val="en-AU"/>
        </w:rPr>
        <w:t xml:space="preserve">, the individual needs information, guidance and counselling, emphasising both learning and work perspectives in order to secure longer term relevance and value for the individual. </w:t>
      </w:r>
    </w:p>
    <w:p w:rsidR="00A874A1" w:rsidRDefault="00A874A1" w:rsidP="00A874A1">
      <w:pPr>
        <w:spacing w:after="120"/>
        <w:ind w:right="-6"/>
        <w:jc w:val="both"/>
        <w:rPr>
          <w:rFonts w:cstheme="minorHAnsi"/>
          <w:lang w:val="en-AU"/>
        </w:rPr>
      </w:pPr>
      <w:r w:rsidRPr="007364FA">
        <w:rPr>
          <w:rFonts w:cstheme="minorHAnsi"/>
          <w:lang w:val="en-AU"/>
        </w:rPr>
        <w:t xml:space="preserve">Strengthening </w:t>
      </w:r>
      <w:r>
        <w:rPr>
          <w:rFonts w:cstheme="minorHAnsi"/>
          <w:lang w:val="en-AU"/>
        </w:rPr>
        <w:t>VPL</w:t>
      </w:r>
      <w:r w:rsidRPr="007364FA">
        <w:rPr>
          <w:rFonts w:cstheme="minorHAnsi"/>
          <w:lang w:val="en-AU"/>
        </w:rPr>
        <w:t xml:space="preserve">-practice entails upscaling the investment in raising-awareness </w:t>
      </w:r>
      <w:r>
        <w:rPr>
          <w:rFonts w:cstheme="minorHAnsi"/>
          <w:lang w:val="en-AU"/>
        </w:rPr>
        <w:t>of the value of prior learning experiences, information-provision on VPL</w:t>
      </w:r>
      <w:r w:rsidRPr="007364FA">
        <w:rPr>
          <w:rFonts w:cstheme="minorHAnsi"/>
          <w:lang w:val="en-AU"/>
        </w:rPr>
        <w:t>-services</w:t>
      </w:r>
      <w:r w:rsidRPr="00A91B44">
        <w:rPr>
          <w:rFonts w:cstheme="minorHAnsi"/>
          <w:lang w:val="en-AU"/>
        </w:rPr>
        <w:t xml:space="preserve"> offered (</w:t>
      </w:r>
      <w:r>
        <w:rPr>
          <w:rFonts w:cstheme="minorHAnsi"/>
          <w:lang w:val="en-AU"/>
        </w:rPr>
        <w:t>information, guidance, assessment)</w:t>
      </w:r>
      <w:r w:rsidRPr="00A91B44">
        <w:rPr>
          <w:rFonts w:cstheme="minorHAnsi"/>
          <w:lang w:val="en-AU"/>
        </w:rPr>
        <w:t xml:space="preserve"> and strengthening the linkage of national qualification standards and occupational standards and coordination between </w:t>
      </w:r>
      <w:r>
        <w:rPr>
          <w:rFonts w:cstheme="minorHAnsi"/>
          <w:lang w:val="en-AU"/>
        </w:rPr>
        <w:t>national stakeholders and HEIs.</w:t>
      </w:r>
    </w:p>
    <w:p w:rsidR="00A874A1" w:rsidRDefault="00A874A1" w:rsidP="00A874A1">
      <w:pPr>
        <w:spacing w:before="120"/>
        <w:ind w:right="-6"/>
        <w:jc w:val="both"/>
        <w:rPr>
          <w:rFonts w:cs="Lucida Sans Unicode"/>
          <w:iCs/>
          <w:lang w:val="en-GB"/>
        </w:rPr>
      </w:pPr>
      <w:r w:rsidRPr="00FF7162">
        <w:rPr>
          <w:rFonts w:cs="Lucida Sans Unicode"/>
          <w:iCs/>
          <w:lang w:val="en-GB"/>
        </w:rPr>
        <w:t xml:space="preserve">The awareness of the value of a </w:t>
      </w:r>
      <w:r>
        <w:rPr>
          <w:rFonts w:cs="Lucida Sans Unicode"/>
          <w:iCs/>
          <w:lang w:val="en-GB"/>
        </w:rPr>
        <w:t>VPL-</w:t>
      </w:r>
      <w:r w:rsidRPr="00FF7162">
        <w:rPr>
          <w:rFonts w:cs="Lucida Sans Unicode"/>
          <w:iCs/>
          <w:lang w:val="en-GB"/>
        </w:rPr>
        <w:t xml:space="preserve">approach </w:t>
      </w:r>
      <w:r>
        <w:rPr>
          <w:rFonts w:cs="Lucida Sans Unicode"/>
          <w:iCs/>
          <w:lang w:val="en-GB"/>
        </w:rPr>
        <w:t xml:space="preserve">in HEIs </w:t>
      </w:r>
      <w:r w:rsidRPr="00FF7162">
        <w:rPr>
          <w:rFonts w:cs="Lucida Sans Unicode"/>
          <w:iCs/>
          <w:lang w:val="en-GB"/>
        </w:rPr>
        <w:t xml:space="preserve">focused on learner </w:t>
      </w:r>
      <w:r>
        <w:rPr>
          <w:rFonts w:cs="Lucida Sans Unicode"/>
          <w:iCs/>
          <w:lang w:val="en-GB"/>
        </w:rPr>
        <w:t xml:space="preserve">needs and taking account of the value of not only formal but also informal and non-formal learning results </w:t>
      </w:r>
      <w:r w:rsidRPr="00FF7162">
        <w:rPr>
          <w:rFonts w:cs="Lucida Sans Unicode"/>
          <w:iCs/>
          <w:lang w:val="en-GB"/>
        </w:rPr>
        <w:t>depends on the</w:t>
      </w:r>
      <w:r>
        <w:rPr>
          <w:rFonts w:cs="Lucida Sans Unicode"/>
          <w:iCs/>
          <w:lang w:val="en-GB"/>
        </w:rPr>
        <w:t xml:space="preserve"> consensus among all actors (target-group representatives, information officers, assessors, guides, teachers) in VPL-processes in and around HEIs</w:t>
      </w:r>
      <w:r w:rsidRPr="00FF7162">
        <w:rPr>
          <w:rFonts w:cs="Lucida Sans Unicode"/>
          <w:iCs/>
          <w:lang w:val="en-GB"/>
        </w:rPr>
        <w:t xml:space="preserve">. The </w:t>
      </w:r>
      <w:r>
        <w:rPr>
          <w:rFonts w:cs="Lucida Sans Unicode"/>
          <w:iCs/>
          <w:lang w:val="en-GB"/>
        </w:rPr>
        <w:t>actors</w:t>
      </w:r>
      <w:r w:rsidRPr="00FF7162">
        <w:rPr>
          <w:rFonts w:cs="Lucida Sans Unicode"/>
          <w:iCs/>
          <w:lang w:val="en-GB"/>
        </w:rPr>
        <w:t xml:space="preserve"> can support awareness and consensus. </w:t>
      </w:r>
      <w:r>
        <w:rPr>
          <w:rFonts w:cs="Lucida Sans Unicode"/>
          <w:iCs/>
          <w:lang w:val="en-GB"/>
        </w:rPr>
        <w:t xml:space="preserve">Moreover, any actor can help strengthen information-provision to the target groups by reaching out to them directly or indirectly to their representatives/spokesmen in their new country. </w:t>
      </w:r>
    </w:p>
    <w:p w:rsidR="00A874A1" w:rsidRPr="00A874A1" w:rsidRDefault="00A874A1" w:rsidP="00A874A1">
      <w:pPr>
        <w:spacing w:after="120"/>
        <w:ind w:right="-6"/>
        <w:jc w:val="both"/>
        <w:rPr>
          <w:rFonts w:cstheme="minorHAnsi"/>
          <w:lang w:val="en-AU"/>
        </w:rPr>
      </w:pPr>
      <w:r w:rsidRPr="007364FA">
        <w:rPr>
          <w:rFonts w:cstheme="minorHAnsi"/>
          <w:lang w:val="en-AU"/>
        </w:rPr>
        <w:t xml:space="preserve">Critical aspect in all approaches </w:t>
      </w:r>
      <w:r>
        <w:rPr>
          <w:rFonts w:cstheme="minorHAnsi"/>
          <w:lang w:val="en-AU"/>
        </w:rPr>
        <w:t xml:space="preserve">of HEIs </w:t>
      </w:r>
      <w:r w:rsidRPr="007364FA">
        <w:rPr>
          <w:rFonts w:cstheme="minorHAnsi"/>
          <w:lang w:val="en-AU"/>
        </w:rPr>
        <w:t xml:space="preserve">is the importance of engaging designated target groups by making </w:t>
      </w:r>
      <w:r>
        <w:rPr>
          <w:rFonts w:cstheme="minorHAnsi"/>
          <w:lang w:val="en-AU"/>
        </w:rPr>
        <w:t>VPL</w:t>
      </w:r>
      <w:r w:rsidRPr="007364FA">
        <w:rPr>
          <w:rFonts w:cstheme="minorHAnsi"/>
          <w:lang w:val="en-AU"/>
        </w:rPr>
        <w:t xml:space="preserve"> a personalised approach. People need to be able to articulate their learning experiences, identify their personal competences and link these competences to perspectives and roles in society. </w:t>
      </w:r>
      <w:r>
        <w:rPr>
          <w:rFonts w:cstheme="minorHAnsi"/>
          <w:lang w:val="en-AU"/>
        </w:rPr>
        <w:t xml:space="preserve">The learner’s voice therewith </w:t>
      </w:r>
      <w:r w:rsidR="00EC3FF0">
        <w:rPr>
          <w:rFonts w:cstheme="minorHAnsi"/>
          <w:lang w:val="en-AU"/>
        </w:rPr>
        <w:t xml:space="preserve">is </w:t>
      </w:r>
      <w:r>
        <w:rPr>
          <w:rFonts w:cstheme="minorHAnsi"/>
          <w:lang w:val="en-AU"/>
        </w:rPr>
        <w:t xml:space="preserve">more </w:t>
      </w:r>
      <w:r w:rsidRPr="00A874A1">
        <w:rPr>
          <w:rFonts w:cstheme="minorHAnsi"/>
          <w:lang w:val="en-AU"/>
        </w:rPr>
        <w:t xml:space="preserve">than the need of people to have their voices listened to but also need to articulate their own voice. </w:t>
      </w:r>
    </w:p>
    <w:p w:rsidR="00A874A1" w:rsidRPr="00A874A1" w:rsidRDefault="00A874A1" w:rsidP="00A874A1">
      <w:pPr>
        <w:spacing w:after="120"/>
        <w:ind w:right="-6"/>
        <w:jc w:val="both"/>
        <w:rPr>
          <w:rFonts w:cstheme="minorHAnsi"/>
          <w:lang w:val="en-AU"/>
        </w:rPr>
      </w:pPr>
      <w:r w:rsidRPr="00A874A1">
        <w:rPr>
          <w:rFonts w:cstheme="minorHAnsi"/>
          <w:lang w:val="en-AU"/>
        </w:rPr>
        <w:t xml:space="preserve">The learner’s voice highlights the need for ownership of learners and the ensuing inclusion of their preferences and possibilities – regarding settings, time, cost, progression – in the formulation of VPL-strategies and the execution of VPL-processes in HEIs. Good quality of guidance and assessment of the learner is essential in the VPL-process for including such individual ownership of learning experiences. The </w:t>
      </w:r>
      <w:r w:rsidR="00EC3FF0">
        <w:rPr>
          <w:rFonts w:cstheme="minorHAnsi"/>
          <w:lang w:val="en-AU"/>
        </w:rPr>
        <w:t xml:space="preserve">American </w:t>
      </w:r>
      <w:r w:rsidRPr="00A874A1">
        <w:rPr>
          <w:rFonts w:cstheme="minorHAnsi"/>
          <w:lang w:val="en-AU"/>
        </w:rPr>
        <w:t>Institute for Personalized Learning advocates in its educational services for schools and educators that:</w:t>
      </w:r>
    </w:p>
    <w:p w:rsidR="00A874A1" w:rsidRPr="00A874A1" w:rsidRDefault="00A874A1" w:rsidP="00A874A1">
      <w:pPr>
        <w:spacing w:after="120"/>
        <w:ind w:left="284" w:right="277"/>
        <w:jc w:val="both"/>
        <w:rPr>
          <w:rFonts w:cstheme="minorHAnsi"/>
          <w:lang w:val="en-AU"/>
        </w:rPr>
      </w:pPr>
      <w:r w:rsidRPr="00A874A1">
        <w:rPr>
          <w:rFonts w:cstheme="minorHAnsi"/>
          <w:i/>
          <w:lang w:val="en-AU"/>
        </w:rPr>
        <w:lastRenderedPageBreak/>
        <w:t xml:space="preserve">The greatest gift to learners is to give them the tools, insights, and understanding necessary to be in charge of their own learning and lives. When learners understand how to channel their interest and curiosity, they gain the ability to motivate themselves. When learners begin to own their learning, they gain a prized possession to protect, build, and maintain for a lifetime. </w:t>
      </w:r>
      <w:r w:rsidRPr="00A874A1">
        <w:rPr>
          <w:rFonts w:cstheme="minorHAnsi"/>
          <w:lang w:val="en-AU"/>
        </w:rPr>
        <w:t>(Rickabaugh, 2012)</w:t>
      </w:r>
    </w:p>
    <w:p w:rsidR="00A874A1" w:rsidRPr="00A874A1" w:rsidRDefault="00A874A1" w:rsidP="00A874A1">
      <w:pPr>
        <w:spacing w:after="120"/>
        <w:ind w:right="-6"/>
        <w:jc w:val="both"/>
        <w:rPr>
          <w:rFonts w:cstheme="minorHAnsi"/>
          <w:lang w:val="en-AU"/>
        </w:rPr>
      </w:pPr>
      <w:r w:rsidRPr="00A874A1">
        <w:rPr>
          <w:rFonts w:cstheme="minorHAnsi"/>
          <w:lang w:val="en-AU"/>
        </w:rPr>
        <w:t xml:space="preserve">Successfully applying VPL holds in this way a promise of creating social and/or economic perspective for people that can be linked to their intrinsic values and agency. Bray and </w:t>
      </w:r>
      <w:proofErr w:type="spellStart"/>
      <w:r w:rsidRPr="00A874A1">
        <w:rPr>
          <w:rFonts w:cstheme="minorHAnsi"/>
          <w:lang w:val="en-AU"/>
        </w:rPr>
        <w:t>McClaskey</w:t>
      </w:r>
      <w:proofErr w:type="spellEnd"/>
      <w:r w:rsidRPr="00A874A1">
        <w:rPr>
          <w:rFonts w:cstheme="minorHAnsi"/>
          <w:lang w:val="en-AU"/>
        </w:rPr>
        <w:t xml:space="preserve"> (2015) perceive such personalisation as the next development in the learning system based on the engaged, self-managing, learning individual operating in a supportive network, all within the modern, learning society. The offer of a shortened, self-steered and flexible learning path for obtaining HE-levels is in this respect more than formalising personal learning experiences; it’s more an offer of personal empowerment in terms of strengthening life skills, incl. literacy and numeracy, and social participation in the learning society.</w:t>
      </w:r>
    </w:p>
    <w:p w:rsidR="00A874A1" w:rsidRPr="00A874A1" w:rsidRDefault="00A874A1" w:rsidP="00A874A1">
      <w:pPr>
        <w:spacing w:after="120"/>
        <w:ind w:right="-6"/>
        <w:jc w:val="both"/>
        <w:rPr>
          <w:rFonts w:cstheme="minorHAnsi"/>
          <w:iCs/>
          <w:lang w:val="en-GB"/>
        </w:rPr>
      </w:pPr>
      <w:r w:rsidRPr="00A874A1">
        <w:rPr>
          <w:rFonts w:cstheme="minorHAnsi"/>
          <w:iCs/>
          <w:lang w:val="en-GB"/>
        </w:rPr>
        <w:t xml:space="preserve">The expertise of portfolio guides, counsellors, advisors and assessors is very important in achieving maximum awareness of the value of personal </w:t>
      </w:r>
      <w:proofErr w:type="gramStart"/>
      <w:r w:rsidRPr="00A874A1">
        <w:rPr>
          <w:rFonts w:cstheme="minorHAnsi"/>
          <w:iCs/>
          <w:lang w:val="en-GB"/>
        </w:rPr>
        <w:t>learning, and</w:t>
      </w:r>
      <w:proofErr w:type="gramEnd"/>
      <w:r w:rsidRPr="00A874A1">
        <w:rPr>
          <w:rFonts w:cstheme="minorHAnsi"/>
          <w:iCs/>
          <w:lang w:val="en-GB"/>
        </w:rPr>
        <w:t xml:space="preserve"> creating motivation and ambition for VPL and learning/social opportunities in HEIs </w:t>
      </w:r>
      <w:proofErr w:type="spellStart"/>
      <w:r w:rsidRPr="00A874A1">
        <w:rPr>
          <w:rFonts w:cstheme="minorHAnsi"/>
          <w:iCs/>
          <w:lang w:val="en-GB"/>
        </w:rPr>
        <w:t>ánd</w:t>
      </w:r>
      <w:proofErr w:type="spellEnd"/>
      <w:r w:rsidRPr="00A874A1">
        <w:rPr>
          <w:rFonts w:cstheme="minorHAnsi"/>
          <w:iCs/>
          <w:lang w:val="en-GB"/>
        </w:rPr>
        <w:t xml:space="preserve"> society. HEIs should therefore invest in the creation and maintenance of occupational standards for VPL information-providers, -guides, -assessors and -managers. Even more, these standards should be linked to internal human resource management systems in HEIs and offer the chance for career-paths in HEIs for VPL-professionals.</w:t>
      </w:r>
    </w:p>
    <w:p w:rsidR="00A874A1" w:rsidRPr="00A874A1" w:rsidRDefault="00A874A1" w:rsidP="00A874A1">
      <w:pPr>
        <w:spacing w:after="120"/>
        <w:ind w:right="-6"/>
        <w:jc w:val="both"/>
        <w:rPr>
          <w:rFonts w:cstheme="minorHAnsi"/>
          <w:lang w:val="en-AU"/>
        </w:rPr>
      </w:pPr>
      <w:r w:rsidRPr="00A874A1">
        <w:rPr>
          <w:rFonts w:cstheme="minorHAnsi"/>
          <w:iCs/>
          <w:lang w:val="en-AU"/>
        </w:rPr>
        <w:t xml:space="preserve">Next to career-paths in VPL-professionalisms, HEIs could also invest in research-programmes for VPL in educational, social and economic domains. </w:t>
      </w:r>
      <w:r w:rsidRPr="00A874A1">
        <w:rPr>
          <w:rFonts w:cstheme="minorHAnsi"/>
          <w:lang w:val="en-AU"/>
        </w:rPr>
        <w:t>Research is needed into the added value of VPL, among other things focused on its economic, financial and social effects.</w:t>
      </w:r>
    </w:p>
    <w:p w:rsidR="00A874A1" w:rsidRPr="00A874A1" w:rsidRDefault="00A874A1" w:rsidP="00A874A1">
      <w:pPr>
        <w:spacing w:after="120"/>
        <w:ind w:right="-6"/>
        <w:jc w:val="both"/>
        <w:rPr>
          <w:rFonts w:cstheme="minorHAnsi"/>
          <w:lang w:val="en-AU"/>
        </w:rPr>
      </w:pPr>
      <w:r w:rsidRPr="00A874A1">
        <w:rPr>
          <w:rFonts w:cstheme="minorHAnsi"/>
          <w:lang w:val="en-AU"/>
        </w:rPr>
        <w:t>When achieving a specific outcome of VPL for HE-competent refugees and migrants, it is a critical success factor to offer actual social or economic perspective. Sector-based and regional VPL-practices present successes (Singh, 2015), especially if involved organisations/companies ensure that their formulation of demands for functions and activities on HE-levels is transparent. This strategy works especially well when focusing on tackling skills gaps or offering further learning paths.</w:t>
      </w:r>
    </w:p>
    <w:p w:rsidR="00A874A1" w:rsidRPr="00A874A1" w:rsidRDefault="00A874A1" w:rsidP="00A874A1">
      <w:pPr>
        <w:pStyle w:val="OpsommingNummer"/>
        <w:spacing w:after="120" w:line="240" w:lineRule="auto"/>
        <w:ind w:left="0" w:right="-6" w:firstLine="0"/>
        <w:jc w:val="both"/>
        <w:rPr>
          <w:rFonts w:asciiTheme="minorHAnsi" w:hAnsiTheme="minorHAnsi" w:cstheme="minorHAnsi"/>
          <w:sz w:val="20"/>
          <w:lang w:val="en-GB"/>
        </w:rPr>
      </w:pPr>
      <w:r w:rsidRPr="00A874A1">
        <w:rPr>
          <w:rFonts w:asciiTheme="minorHAnsi" w:hAnsiTheme="minorHAnsi" w:cstheme="minorHAnsi"/>
          <w:sz w:val="20"/>
          <w:lang w:val="en-AU"/>
        </w:rPr>
        <w:t>As a follow-up on VPL-processes, tailored, further learning options need to be offered by HEIs. These options need to be flexible in order to boost people’s desire to keep on learning. The VPL approach benefits from optimising other forms of learning: other learning environments and forms of learning must be formulated and/or utilised more effectively, since the outcome of a VPL-process also shows which learning environment and/or form of learning is best for an individual. This may include (combinations of) work-based learning, mentoring/tutoring, self-</w:t>
      </w:r>
      <w:r w:rsidRPr="00A874A1">
        <w:rPr>
          <w:rFonts w:asciiTheme="minorHAnsi" w:hAnsiTheme="minorHAnsi" w:cstheme="minorHAnsi"/>
          <w:sz w:val="20"/>
          <w:lang w:val="en-GB"/>
        </w:rPr>
        <w:t>steered learning, distance learning, peer-learning, and so on.</w:t>
      </w:r>
    </w:p>
    <w:p w:rsidR="00A874A1" w:rsidRPr="00A874A1" w:rsidRDefault="00A874A1" w:rsidP="00A874A1">
      <w:pPr>
        <w:pStyle w:val="TableText"/>
        <w:spacing w:line="240" w:lineRule="auto"/>
        <w:ind w:left="0" w:right="-6"/>
        <w:jc w:val="both"/>
        <w:rPr>
          <w:rFonts w:asciiTheme="minorHAnsi" w:hAnsiTheme="minorHAnsi" w:cstheme="minorHAnsi"/>
        </w:rPr>
      </w:pPr>
      <w:r w:rsidRPr="00A874A1">
        <w:rPr>
          <w:rFonts w:asciiTheme="minorHAnsi" w:hAnsiTheme="minorHAnsi" w:cstheme="minorHAnsi"/>
        </w:rPr>
        <w:t>An open dialogue on validation and learning between the individual and the learning and/or working systems</w:t>
      </w:r>
      <w:r w:rsidRPr="00A874A1">
        <w:rPr>
          <w:rFonts w:asciiTheme="minorHAnsi" w:hAnsiTheme="minorHAnsi" w:cstheme="minorHAnsi"/>
          <w:i/>
        </w:rPr>
        <w:t xml:space="preserve"> </w:t>
      </w:r>
      <w:r w:rsidRPr="00A874A1">
        <w:rPr>
          <w:rFonts w:asciiTheme="minorHAnsi" w:hAnsiTheme="minorHAnsi" w:cstheme="minorHAnsi"/>
        </w:rPr>
        <w:t>can be effective when the co-</w:t>
      </w:r>
      <w:proofErr w:type="spellStart"/>
      <w:r w:rsidRPr="00A874A1">
        <w:rPr>
          <w:rFonts w:asciiTheme="minorHAnsi" w:hAnsiTheme="minorHAnsi" w:cstheme="minorHAnsi"/>
        </w:rPr>
        <w:t>makership</w:t>
      </w:r>
      <w:proofErr w:type="spellEnd"/>
      <w:r w:rsidRPr="00A874A1">
        <w:rPr>
          <w:rFonts w:asciiTheme="minorHAnsi" w:hAnsiTheme="minorHAnsi" w:cstheme="minorHAnsi"/>
        </w:rPr>
        <w:t xml:space="preserve"> of the individual in shaping her own future is truly accepted and afforded (Duvekot, 2017). The subsequent open dialogue is able to connect - retrospectively - the learning history of higher educated refugees and migrants with - prospectively - what they still need to learn in their new country.</w:t>
      </w:r>
    </w:p>
    <w:p w:rsidR="00A874A1" w:rsidRPr="00A874A1" w:rsidRDefault="00A874A1" w:rsidP="00A874A1">
      <w:pPr>
        <w:pStyle w:val="TableText"/>
        <w:spacing w:line="240" w:lineRule="auto"/>
        <w:ind w:left="0" w:right="-6"/>
        <w:jc w:val="both"/>
        <w:rPr>
          <w:rFonts w:asciiTheme="minorHAnsi" w:hAnsiTheme="minorHAnsi" w:cstheme="minorHAnsi"/>
        </w:rPr>
      </w:pPr>
      <w:r w:rsidRPr="00A874A1">
        <w:rPr>
          <w:rFonts w:asciiTheme="minorHAnsi" w:hAnsiTheme="minorHAnsi" w:cstheme="minorHAnsi"/>
        </w:rPr>
        <w:t xml:space="preserve">VPL can be a strong guiding vision </w:t>
      </w:r>
      <w:proofErr w:type="spellStart"/>
      <w:r w:rsidRPr="00A874A1">
        <w:rPr>
          <w:rFonts w:asciiTheme="minorHAnsi" w:hAnsiTheme="minorHAnsi" w:cstheme="minorHAnsi"/>
        </w:rPr>
        <w:t>ánd</w:t>
      </w:r>
      <w:proofErr w:type="spellEnd"/>
      <w:r w:rsidRPr="00A874A1">
        <w:rPr>
          <w:rFonts w:asciiTheme="minorHAnsi" w:hAnsiTheme="minorHAnsi" w:cstheme="minorHAnsi"/>
        </w:rPr>
        <w:t xml:space="preserve"> tool by affording an open dialogical process of validation and learning between the learner and the teacher/employer in both the validation as well as the learning process:</w:t>
      </w:r>
    </w:p>
    <w:p w:rsidR="00A874A1" w:rsidRPr="00A874A1" w:rsidRDefault="00A874A1" w:rsidP="00A874A1">
      <w:pPr>
        <w:pStyle w:val="TableText"/>
        <w:numPr>
          <w:ilvl w:val="0"/>
          <w:numId w:val="7"/>
        </w:numPr>
        <w:spacing w:line="240" w:lineRule="auto"/>
        <w:ind w:left="284" w:right="-6" w:hanging="284"/>
        <w:jc w:val="both"/>
        <w:rPr>
          <w:rFonts w:asciiTheme="minorHAnsi" w:hAnsiTheme="minorHAnsi" w:cstheme="minorHAnsi"/>
        </w:rPr>
      </w:pPr>
      <w:r w:rsidRPr="00A874A1">
        <w:rPr>
          <w:rFonts w:asciiTheme="minorHAnsi" w:hAnsiTheme="minorHAnsi" w:cstheme="minorHAnsi"/>
        </w:rPr>
        <w:t>In the validation process, the testing (summative) and advisory (formative) functions of validation in the dialogue between (the portfolio of) the learner and the (qualification standards of the) teacher and/or the (occupational standards of the) employer are used to recognize, value and accredit learning outcomes. The learner is assisted in this process by test forms that are product- or process-oriented. Process-oriented means that learning outcomes are assessed integrated and interlinked, whereas in product-oriented validation this is based on the value of the learning outcome in itself.</w:t>
      </w:r>
    </w:p>
    <w:p w:rsidR="00A874A1" w:rsidRPr="00A874A1" w:rsidRDefault="00A874A1" w:rsidP="00A874A1">
      <w:pPr>
        <w:pStyle w:val="TableText"/>
        <w:numPr>
          <w:ilvl w:val="0"/>
          <w:numId w:val="7"/>
        </w:numPr>
        <w:spacing w:line="240" w:lineRule="auto"/>
        <w:ind w:left="284" w:right="-6" w:hanging="284"/>
        <w:jc w:val="both"/>
        <w:rPr>
          <w:rFonts w:asciiTheme="minorHAnsi" w:hAnsiTheme="minorHAnsi" w:cstheme="minorHAnsi"/>
        </w:rPr>
      </w:pPr>
      <w:r w:rsidRPr="00A874A1">
        <w:rPr>
          <w:rFonts w:asciiTheme="minorHAnsi" w:hAnsiTheme="minorHAnsi" w:cstheme="minorHAnsi"/>
          <w:lang w:val="en-US"/>
        </w:rPr>
        <w:t>The learning process aims at offering learning that cannot (yet) be realized through validation or of which the learner believes that this learning is desirable. This process is personalized in terms of content, form and meaning. The learner can have a say in the design of the personal learning trajectory within the framework of the study program. This goes as well for refugees and migrants as for any other learner.</w:t>
      </w:r>
    </w:p>
    <w:p w:rsidR="00A874A1" w:rsidRDefault="00A874A1" w:rsidP="00A874A1">
      <w:pPr>
        <w:pStyle w:val="TableText"/>
        <w:spacing w:line="240" w:lineRule="auto"/>
        <w:ind w:left="0" w:right="-6"/>
        <w:jc w:val="both"/>
        <w:rPr>
          <w:rFonts w:asciiTheme="minorHAnsi" w:hAnsiTheme="minorHAnsi" w:cstheme="minorHAnsi"/>
          <w:lang w:val="en-US"/>
        </w:rPr>
      </w:pPr>
    </w:p>
    <w:p w:rsidR="00A874A1" w:rsidRPr="00A874A1" w:rsidRDefault="00EC3FF0" w:rsidP="00A874A1">
      <w:pPr>
        <w:pStyle w:val="TableText"/>
        <w:spacing w:line="240" w:lineRule="auto"/>
        <w:ind w:left="0" w:right="-6"/>
        <w:jc w:val="both"/>
        <w:rPr>
          <w:rFonts w:asciiTheme="minorHAnsi" w:hAnsiTheme="minorHAnsi" w:cstheme="minorHAnsi"/>
          <w:b/>
          <w:bCs/>
          <w:sz w:val="22"/>
          <w:szCs w:val="32"/>
          <w:lang w:val="en-US"/>
        </w:rPr>
      </w:pPr>
      <w:r>
        <w:rPr>
          <w:rFonts w:asciiTheme="minorHAnsi" w:hAnsiTheme="minorHAnsi" w:cstheme="minorHAnsi"/>
          <w:b/>
          <w:bCs/>
          <w:sz w:val="22"/>
          <w:szCs w:val="32"/>
          <w:lang w:val="en-US"/>
        </w:rPr>
        <w:t>Final words</w:t>
      </w:r>
      <w:bookmarkStart w:id="0" w:name="_GoBack"/>
      <w:bookmarkEnd w:id="0"/>
    </w:p>
    <w:p w:rsidR="00A874A1" w:rsidRPr="00A874A1" w:rsidRDefault="00A874A1" w:rsidP="00A874A1">
      <w:pPr>
        <w:spacing w:after="120"/>
        <w:ind w:right="-6"/>
        <w:jc w:val="both"/>
        <w:rPr>
          <w:rFonts w:cstheme="minorHAnsi"/>
          <w:lang w:val="en-AU"/>
        </w:rPr>
      </w:pPr>
      <w:r w:rsidRPr="00A874A1">
        <w:rPr>
          <w:rFonts w:cstheme="minorHAnsi"/>
          <w:lang w:val="en-AU"/>
        </w:rPr>
        <w:t xml:space="preserve">The overall conclusion is that VPL still has a long way to go before it is embedded all over Europe’s HEIs. Good practices from Danish, Dutch, French and Norwegian HEIs demonstrate that much is possible in affording refugees and migrants when they need or want access </w:t>
      </w:r>
      <w:proofErr w:type="gramStart"/>
      <w:r w:rsidRPr="00A874A1">
        <w:rPr>
          <w:rFonts w:cstheme="minorHAnsi"/>
          <w:lang w:val="en-AU"/>
        </w:rPr>
        <w:t>to</w:t>
      </w:r>
      <w:proofErr w:type="gramEnd"/>
      <w:r w:rsidRPr="00A874A1">
        <w:rPr>
          <w:rFonts w:cstheme="minorHAnsi"/>
          <w:lang w:val="en-AU"/>
        </w:rPr>
        <w:t xml:space="preserve"> HE. Offering VPL as an open gateway for linking a </w:t>
      </w:r>
      <w:r w:rsidRPr="00A874A1">
        <w:rPr>
          <w:rFonts w:cstheme="minorHAnsi"/>
          <w:lang w:val="en-AU"/>
        </w:rPr>
        <w:lastRenderedPageBreak/>
        <w:t>person’s formally, informally and non-formally acquired competences to a HE-programme is one of the critical success factors in these practices. Furthermore, offering the remaining competences to be acquired after the assessment in a tailored and flexible learning path is the other critical success factor. Both critical success factors depend strongly upon the willingness and the ability to recognise the competences acquired ‘outside of academia’; that’s more a matter of ambassadorship of committed VPL-staff in HEIs, open mindedness and embracement of the dialogue of validation and learning than of assessment-methodology or interview-techniques.</w:t>
      </w:r>
    </w:p>
    <w:p w:rsidR="00A874A1" w:rsidRDefault="00A874A1" w:rsidP="00A874A1">
      <w:pPr>
        <w:pStyle w:val="TableText"/>
        <w:spacing w:line="240" w:lineRule="auto"/>
        <w:ind w:left="0" w:right="-6"/>
        <w:jc w:val="both"/>
        <w:rPr>
          <w:rFonts w:asciiTheme="minorHAnsi" w:hAnsiTheme="minorHAnsi" w:cstheme="minorHAnsi"/>
          <w:lang w:val="en-AU"/>
        </w:rPr>
      </w:pPr>
      <w:r w:rsidRPr="00A874A1">
        <w:rPr>
          <w:rFonts w:asciiTheme="minorHAnsi" w:hAnsiTheme="minorHAnsi" w:cstheme="minorHAnsi"/>
          <w:lang w:val="en-AU"/>
        </w:rPr>
        <w:t xml:space="preserve">Least of all, this analysis gives credits to Paolo Freire’s </w:t>
      </w:r>
      <w:r w:rsidRPr="00A874A1">
        <w:rPr>
          <w:rFonts w:asciiTheme="minorHAnsi" w:hAnsiTheme="minorHAnsi" w:cstheme="minorHAnsi"/>
          <w:bCs/>
          <w:iCs/>
          <w:lang w:val="en-AU"/>
        </w:rPr>
        <w:t>statement in the 1970s that learning</w:t>
      </w:r>
      <w:r w:rsidRPr="00A874A1">
        <w:rPr>
          <w:rFonts w:asciiTheme="minorHAnsi" w:hAnsiTheme="minorHAnsi" w:cstheme="minorHAnsi"/>
          <w:iCs/>
          <w:lang w:val="en-AU"/>
        </w:rPr>
        <w:t xml:space="preserve"> needs to be addressed as a developmental and dialogical process of ‘action-reflection-praxis’ of </w:t>
      </w:r>
      <w:proofErr w:type="spellStart"/>
      <w:r w:rsidRPr="00A874A1">
        <w:rPr>
          <w:rFonts w:asciiTheme="minorHAnsi" w:hAnsiTheme="minorHAnsi" w:cstheme="minorHAnsi"/>
          <w:iCs/>
          <w:lang w:val="en-AU"/>
        </w:rPr>
        <w:t>ánd</w:t>
      </w:r>
      <w:proofErr w:type="spellEnd"/>
      <w:r w:rsidRPr="00A874A1">
        <w:rPr>
          <w:rFonts w:asciiTheme="minorHAnsi" w:hAnsiTheme="minorHAnsi" w:cstheme="minorHAnsi"/>
          <w:iCs/>
          <w:lang w:val="en-AU"/>
        </w:rPr>
        <w:t xml:space="preserve"> by people (i.e. teachers </w:t>
      </w:r>
      <w:proofErr w:type="spellStart"/>
      <w:r w:rsidRPr="00A874A1">
        <w:rPr>
          <w:rFonts w:asciiTheme="minorHAnsi" w:hAnsiTheme="minorHAnsi" w:cstheme="minorHAnsi"/>
          <w:iCs/>
          <w:lang w:val="en-AU"/>
        </w:rPr>
        <w:t>ánd</w:t>
      </w:r>
      <w:proofErr w:type="spellEnd"/>
      <w:r w:rsidRPr="00A874A1">
        <w:rPr>
          <w:rFonts w:asciiTheme="minorHAnsi" w:hAnsiTheme="minorHAnsi" w:cstheme="minorHAnsi"/>
          <w:iCs/>
          <w:lang w:val="en-AU"/>
        </w:rPr>
        <w:t xml:space="preserve"> learners). It should be an anti-depositary process, contrasting the traditional ‘banking-system’ (Freire, 1970). Such processes of dialogical validation and learning suit every learner, inclusive of refugees and migrant with prior learning experiences. With ‘b</w:t>
      </w:r>
      <w:r w:rsidRPr="00A874A1">
        <w:rPr>
          <w:rFonts w:asciiTheme="minorHAnsi" w:hAnsiTheme="minorHAnsi" w:cstheme="minorHAnsi"/>
          <w:lang w:val="en-AU"/>
        </w:rPr>
        <w:t>anking’ Freire meant a process in which knowledge is directly transferred to learners with the teacher as the sole distributor of knowledge and the learner as the passive receiver of this knowledge. Instead of ‘banking’ the ground floor for learning can better be ‘portfolio-</w:t>
      </w:r>
      <w:proofErr w:type="spellStart"/>
      <w:r w:rsidRPr="00A874A1">
        <w:rPr>
          <w:rFonts w:asciiTheme="minorHAnsi" w:hAnsiTheme="minorHAnsi" w:cstheme="minorHAnsi"/>
          <w:lang w:val="en-AU"/>
        </w:rPr>
        <w:t>ing</w:t>
      </w:r>
      <w:proofErr w:type="spellEnd"/>
      <w:r w:rsidRPr="00A874A1">
        <w:rPr>
          <w:rFonts w:asciiTheme="minorHAnsi" w:hAnsiTheme="minorHAnsi" w:cstheme="minorHAnsi"/>
          <w:lang w:val="en-AU"/>
        </w:rPr>
        <w:t>’, in which learning is based on personal, prior learning experiences and the self-management of recurring learning processes.</w:t>
      </w:r>
    </w:p>
    <w:p w:rsidR="00A874A1" w:rsidRDefault="00A874A1" w:rsidP="00A874A1">
      <w:pPr>
        <w:pStyle w:val="TableText"/>
        <w:spacing w:line="240" w:lineRule="auto"/>
        <w:ind w:left="0" w:right="-6"/>
        <w:jc w:val="both"/>
        <w:rPr>
          <w:rFonts w:asciiTheme="minorHAnsi" w:hAnsiTheme="minorHAnsi" w:cstheme="minorHAnsi"/>
          <w:lang w:val="en-AU"/>
        </w:rPr>
      </w:pPr>
    </w:p>
    <w:p w:rsidR="00A874A1" w:rsidRPr="00A874A1" w:rsidRDefault="00A874A1" w:rsidP="00A874A1">
      <w:pPr>
        <w:pStyle w:val="TableText"/>
        <w:spacing w:line="240" w:lineRule="auto"/>
        <w:ind w:left="0" w:right="-6"/>
        <w:jc w:val="both"/>
        <w:rPr>
          <w:rFonts w:asciiTheme="minorHAnsi" w:hAnsiTheme="minorHAnsi" w:cstheme="minorHAnsi"/>
          <w:b/>
          <w:bCs/>
          <w:sz w:val="22"/>
          <w:szCs w:val="32"/>
          <w:lang w:val="en-AU"/>
        </w:rPr>
      </w:pPr>
      <w:r w:rsidRPr="00A874A1">
        <w:rPr>
          <w:rFonts w:asciiTheme="minorHAnsi" w:hAnsiTheme="minorHAnsi" w:cstheme="minorHAnsi"/>
          <w:b/>
          <w:bCs/>
          <w:sz w:val="22"/>
          <w:szCs w:val="32"/>
          <w:lang w:val="en-AU"/>
        </w:rPr>
        <w:t>References</w:t>
      </w:r>
    </w:p>
    <w:p w:rsidR="00A874A1" w:rsidRPr="00A874A1" w:rsidRDefault="00A874A1" w:rsidP="00A874A1">
      <w:pPr>
        <w:ind w:left="142" w:right="-6" w:hanging="142"/>
        <w:rPr>
          <w:rFonts w:cstheme="minorHAnsi"/>
          <w:i/>
          <w:szCs w:val="18"/>
          <w:lang w:val="en-US"/>
        </w:rPr>
      </w:pPr>
      <w:r w:rsidRPr="001B7575">
        <w:rPr>
          <w:rFonts w:cs="Arial"/>
          <w:szCs w:val="18"/>
          <w:lang w:val="en-US"/>
        </w:rPr>
        <w:t xml:space="preserve">Bray, </w:t>
      </w:r>
      <w:r w:rsidRPr="00A874A1">
        <w:rPr>
          <w:rFonts w:cstheme="minorHAnsi"/>
          <w:szCs w:val="18"/>
          <w:lang w:val="en-US"/>
        </w:rPr>
        <w:t xml:space="preserve">B. &amp; </w:t>
      </w:r>
      <w:proofErr w:type="spellStart"/>
      <w:r w:rsidRPr="00A874A1">
        <w:rPr>
          <w:rFonts w:cstheme="minorHAnsi"/>
          <w:szCs w:val="18"/>
          <w:lang w:val="en-US"/>
        </w:rPr>
        <w:t>McClaskey</w:t>
      </w:r>
      <w:proofErr w:type="spellEnd"/>
      <w:r w:rsidRPr="00A874A1">
        <w:rPr>
          <w:rFonts w:cstheme="minorHAnsi"/>
          <w:szCs w:val="18"/>
          <w:lang w:val="en-US"/>
        </w:rPr>
        <w:t xml:space="preserve">, K. (2015). </w:t>
      </w:r>
      <w:r w:rsidRPr="00A874A1">
        <w:rPr>
          <w:rFonts w:cstheme="minorHAnsi"/>
          <w:i/>
          <w:szCs w:val="18"/>
          <w:lang w:val="en-US"/>
        </w:rPr>
        <w:t xml:space="preserve">Make learning personal. </w:t>
      </w:r>
      <w:r w:rsidRPr="00A874A1">
        <w:rPr>
          <w:rFonts w:cstheme="minorHAnsi"/>
          <w:szCs w:val="18"/>
          <w:lang w:val="en-US"/>
        </w:rPr>
        <w:t>Thousand Oaks, Corwin.</w:t>
      </w:r>
    </w:p>
    <w:p w:rsidR="00A874A1" w:rsidRPr="00A874A1" w:rsidRDefault="00A874A1" w:rsidP="00A874A1">
      <w:pPr>
        <w:ind w:left="142" w:right="-6" w:hanging="141"/>
        <w:jc w:val="both"/>
        <w:rPr>
          <w:rFonts w:eastAsia="Times New Roman" w:cstheme="minorHAnsi"/>
          <w:color w:val="000000" w:themeColor="text1"/>
          <w:lang w:val="en-US"/>
        </w:rPr>
      </w:pPr>
      <w:proofErr w:type="spellStart"/>
      <w:r w:rsidRPr="00A874A1">
        <w:rPr>
          <w:rFonts w:eastAsia="Times New Roman" w:cstheme="minorHAnsi"/>
          <w:color w:val="000000" w:themeColor="text1"/>
          <w:lang w:val="en-US"/>
        </w:rPr>
        <w:t>Cedefop</w:t>
      </w:r>
      <w:proofErr w:type="spellEnd"/>
      <w:r w:rsidRPr="00A874A1">
        <w:rPr>
          <w:rFonts w:eastAsia="Times New Roman" w:cstheme="minorHAnsi"/>
          <w:color w:val="000000" w:themeColor="text1"/>
          <w:lang w:val="en-US"/>
        </w:rPr>
        <w:t xml:space="preserve"> (2015). </w:t>
      </w:r>
      <w:r w:rsidRPr="00A874A1">
        <w:rPr>
          <w:rFonts w:eastAsia="Times New Roman" w:cstheme="minorHAnsi"/>
          <w:i/>
          <w:iCs/>
          <w:color w:val="000000" w:themeColor="text1"/>
          <w:lang w:val="en-US"/>
        </w:rPr>
        <w:t xml:space="preserve">European Guidelines for validating non-formal and informal learning. </w:t>
      </w:r>
      <w:r w:rsidRPr="00A874A1">
        <w:rPr>
          <w:rFonts w:eastAsia="Times New Roman" w:cstheme="minorHAnsi"/>
          <w:color w:val="000000" w:themeColor="text1"/>
          <w:lang w:val="en-US"/>
        </w:rPr>
        <w:t>Luxembourg, European Communities.</w:t>
      </w:r>
    </w:p>
    <w:p w:rsidR="00A874A1" w:rsidRPr="00A874A1" w:rsidRDefault="00A874A1" w:rsidP="00A874A1">
      <w:pPr>
        <w:ind w:left="142" w:right="-6" w:hanging="141"/>
        <w:rPr>
          <w:rFonts w:cstheme="minorHAnsi"/>
          <w:i/>
          <w:color w:val="000000" w:themeColor="text1"/>
        </w:rPr>
      </w:pPr>
      <w:r w:rsidRPr="00A874A1">
        <w:rPr>
          <w:rFonts w:cstheme="minorHAnsi"/>
          <w:color w:val="000000" w:themeColor="text1"/>
          <w:lang w:val="fr-FR"/>
        </w:rPr>
        <w:t xml:space="preserve">Duvekot, R. &amp; Duvekot, R.C. </w:t>
      </w:r>
      <w:r w:rsidRPr="00A874A1">
        <w:rPr>
          <w:rFonts w:cstheme="minorHAnsi"/>
          <w:color w:val="000000" w:themeColor="text1"/>
          <w:lang w:val="en-US"/>
        </w:rPr>
        <w:t xml:space="preserve">(2018). </w:t>
      </w:r>
      <w:r w:rsidRPr="00A874A1">
        <w:rPr>
          <w:rFonts w:cstheme="minorHAnsi"/>
          <w:i/>
          <w:color w:val="000000" w:themeColor="text1"/>
          <w:lang w:val="en-GB"/>
        </w:rPr>
        <w:t xml:space="preserve">Validation of non-formal and informal learning for higher educated refugees and migrants (a VINCE report). </w:t>
      </w:r>
      <w:r w:rsidRPr="00A874A1">
        <w:rPr>
          <w:rFonts w:cstheme="minorHAnsi"/>
          <w:iCs/>
          <w:color w:val="000000" w:themeColor="text1"/>
        </w:rPr>
        <w:t>Houten, EC-VPL</w:t>
      </w:r>
      <w:r w:rsidRPr="00A874A1">
        <w:rPr>
          <w:rFonts w:cstheme="minorHAnsi"/>
          <w:i/>
          <w:color w:val="000000" w:themeColor="text1"/>
        </w:rPr>
        <w:t>.</w:t>
      </w:r>
    </w:p>
    <w:p w:rsidR="00A874A1" w:rsidRPr="00A874A1" w:rsidRDefault="00A874A1" w:rsidP="00A874A1">
      <w:pPr>
        <w:pStyle w:val="Plattetekst"/>
        <w:spacing w:after="0"/>
        <w:ind w:left="142" w:right="-6" w:hanging="141"/>
        <w:jc w:val="both"/>
        <w:rPr>
          <w:rFonts w:cstheme="minorHAnsi"/>
          <w:color w:val="000000" w:themeColor="text1"/>
          <w:lang w:val="en-US"/>
        </w:rPr>
      </w:pPr>
      <w:r w:rsidRPr="00A874A1">
        <w:rPr>
          <w:rFonts w:cstheme="minorHAnsi"/>
          <w:color w:val="000000" w:themeColor="text1"/>
        </w:rPr>
        <w:t xml:space="preserve">Duvekot, R.C. (2016). </w:t>
      </w:r>
      <w:r w:rsidRPr="00A874A1">
        <w:rPr>
          <w:rFonts w:cstheme="minorHAnsi"/>
          <w:i/>
          <w:color w:val="000000" w:themeColor="text1"/>
        </w:rPr>
        <w:t xml:space="preserve">Leren Waarderen. </w:t>
      </w:r>
      <w:r w:rsidRPr="00A874A1">
        <w:rPr>
          <w:rFonts w:cstheme="minorHAnsi"/>
          <w:i/>
          <w:color w:val="000000" w:themeColor="text1"/>
          <w:lang w:val="en-US"/>
        </w:rPr>
        <w:t>Thesis.</w:t>
      </w:r>
      <w:r w:rsidRPr="00A874A1">
        <w:rPr>
          <w:rFonts w:cstheme="minorHAnsi"/>
          <w:color w:val="000000" w:themeColor="text1"/>
          <w:lang w:val="en-US"/>
        </w:rPr>
        <w:t xml:space="preserve"> </w:t>
      </w:r>
      <w:proofErr w:type="spellStart"/>
      <w:r w:rsidRPr="00A874A1">
        <w:rPr>
          <w:rFonts w:cstheme="minorHAnsi"/>
          <w:color w:val="000000" w:themeColor="text1"/>
          <w:lang w:val="en-US"/>
        </w:rPr>
        <w:t>Houten</w:t>
      </w:r>
      <w:proofErr w:type="spellEnd"/>
      <w:r w:rsidRPr="00A874A1">
        <w:rPr>
          <w:rFonts w:cstheme="minorHAnsi"/>
          <w:color w:val="000000" w:themeColor="text1"/>
          <w:lang w:val="en-US"/>
        </w:rPr>
        <w:t xml:space="preserve">, CL3S. </w:t>
      </w:r>
      <w:r w:rsidRPr="00A874A1">
        <w:rPr>
          <w:rFonts w:cstheme="minorHAnsi"/>
          <w:i/>
          <w:color w:val="000000" w:themeColor="text1"/>
          <w:lang w:val="en-US"/>
        </w:rPr>
        <w:t xml:space="preserve"> [Valuing Learning. A study of VPL and personalised learni</w:t>
      </w:r>
      <w:r>
        <w:rPr>
          <w:rFonts w:cstheme="minorHAnsi"/>
          <w:i/>
          <w:color w:val="000000" w:themeColor="text1"/>
          <w:lang w:val="en-US"/>
        </w:rPr>
        <w:t>ng]</w:t>
      </w:r>
    </w:p>
    <w:p w:rsidR="00A874A1" w:rsidRPr="00A874A1" w:rsidRDefault="00A874A1" w:rsidP="00A874A1">
      <w:pPr>
        <w:pStyle w:val="Plattetekst"/>
        <w:spacing w:after="0"/>
        <w:ind w:left="142" w:right="-6" w:hanging="142"/>
        <w:jc w:val="both"/>
        <w:rPr>
          <w:rStyle w:val="Hyperlink"/>
          <w:rFonts w:cstheme="minorHAnsi"/>
          <w:lang w:val="en-US"/>
        </w:rPr>
      </w:pPr>
      <w:r w:rsidRPr="00A874A1">
        <w:rPr>
          <w:rFonts w:cstheme="minorHAnsi"/>
          <w:color w:val="222222"/>
          <w:lang w:val="en-US" w:eastAsia="nl-NL"/>
        </w:rPr>
        <w:t xml:space="preserve">Duvekot, R.C. (2017). </w:t>
      </w:r>
      <w:r w:rsidRPr="00A874A1">
        <w:rPr>
          <w:rFonts w:cstheme="minorHAnsi"/>
          <w:i/>
          <w:color w:val="222222"/>
          <w:lang w:eastAsia="nl-NL"/>
        </w:rPr>
        <w:t>Als leren je hele leven omvat.</w:t>
      </w:r>
      <w:r w:rsidRPr="00A874A1">
        <w:rPr>
          <w:rFonts w:cstheme="minorHAnsi"/>
          <w:color w:val="222222"/>
          <w:lang w:eastAsia="nl-NL"/>
        </w:rPr>
        <w:t xml:space="preserve"> </w:t>
      </w:r>
      <w:proofErr w:type="spellStart"/>
      <w:r w:rsidRPr="00A874A1">
        <w:rPr>
          <w:rFonts w:cstheme="minorHAnsi"/>
          <w:color w:val="222222"/>
          <w:lang w:val="en-US" w:eastAsia="nl-NL"/>
        </w:rPr>
        <w:t>Houten</w:t>
      </w:r>
      <w:proofErr w:type="spellEnd"/>
      <w:r w:rsidRPr="00A874A1">
        <w:rPr>
          <w:rFonts w:cstheme="minorHAnsi"/>
          <w:color w:val="222222"/>
          <w:lang w:val="en-US" w:eastAsia="nl-NL"/>
        </w:rPr>
        <w:t>: CL3S &amp; IA. [</w:t>
      </w:r>
      <w:r w:rsidRPr="00A874A1">
        <w:rPr>
          <w:rFonts w:cstheme="minorHAnsi"/>
          <w:i/>
          <w:color w:val="222222"/>
          <w:lang w:val="en-US" w:eastAsia="nl-NL"/>
        </w:rPr>
        <w:t>If learning involves all of your life. From lifelong learning to personalised learning</w:t>
      </w:r>
      <w:r w:rsidRPr="00A874A1">
        <w:rPr>
          <w:rFonts w:cstheme="minorHAnsi"/>
          <w:color w:val="222222"/>
          <w:lang w:val="en-US" w:eastAsia="nl-NL"/>
        </w:rPr>
        <w:t>]</w:t>
      </w:r>
    </w:p>
    <w:p w:rsidR="00A874A1" w:rsidRPr="00A874A1" w:rsidRDefault="00A874A1" w:rsidP="00A874A1">
      <w:pPr>
        <w:ind w:left="142" w:right="-6" w:hanging="142"/>
        <w:jc w:val="both"/>
        <w:rPr>
          <w:rFonts w:eastAsia="Times New Roman" w:cstheme="minorHAnsi"/>
          <w:lang w:val="en-US"/>
        </w:rPr>
      </w:pPr>
      <w:r w:rsidRPr="00A874A1">
        <w:rPr>
          <w:rFonts w:eastAsia="Times New Roman" w:cstheme="minorHAnsi"/>
          <w:lang w:val="en-US"/>
        </w:rPr>
        <w:t xml:space="preserve">Faure, E., Herrera, F., </w:t>
      </w:r>
      <w:proofErr w:type="spellStart"/>
      <w:r w:rsidRPr="00A874A1">
        <w:rPr>
          <w:rFonts w:eastAsia="Times New Roman" w:cstheme="minorHAnsi"/>
          <w:lang w:val="en-US"/>
        </w:rPr>
        <w:t>Kaddoura</w:t>
      </w:r>
      <w:proofErr w:type="spellEnd"/>
      <w:r w:rsidRPr="00A874A1">
        <w:rPr>
          <w:rFonts w:eastAsia="Times New Roman" w:cstheme="minorHAnsi"/>
          <w:lang w:val="en-US"/>
        </w:rPr>
        <w:t xml:space="preserve">, A., Lopes, H., </w:t>
      </w:r>
      <w:proofErr w:type="spellStart"/>
      <w:r w:rsidRPr="00A874A1">
        <w:rPr>
          <w:rFonts w:eastAsia="Times New Roman" w:cstheme="minorHAnsi"/>
          <w:lang w:val="en-US"/>
        </w:rPr>
        <w:t>Petrovsky</w:t>
      </w:r>
      <w:proofErr w:type="spellEnd"/>
      <w:r w:rsidRPr="00A874A1">
        <w:rPr>
          <w:rFonts w:eastAsia="Times New Roman" w:cstheme="minorHAnsi"/>
          <w:lang w:val="en-US"/>
        </w:rPr>
        <w:t xml:space="preserve">, A.V., </w:t>
      </w:r>
      <w:proofErr w:type="spellStart"/>
      <w:r w:rsidRPr="00A874A1">
        <w:rPr>
          <w:rFonts w:eastAsia="Times New Roman" w:cstheme="minorHAnsi"/>
          <w:lang w:val="en-US"/>
        </w:rPr>
        <w:t>Rahnema</w:t>
      </w:r>
      <w:proofErr w:type="spellEnd"/>
      <w:r w:rsidRPr="00A874A1">
        <w:rPr>
          <w:rFonts w:eastAsia="Times New Roman" w:cstheme="minorHAnsi"/>
          <w:lang w:val="en-US"/>
        </w:rPr>
        <w:t xml:space="preserve">, M. &amp; Champion Ward, F. (1972). </w:t>
      </w:r>
      <w:r w:rsidRPr="00A874A1">
        <w:rPr>
          <w:rFonts w:eastAsia="Times New Roman" w:cstheme="minorHAnsi"/>
          <w:i/>
          <w:iCs/>
          <w:lang w:val="en-US"/>
        </w:rPr>
        <w:t>Learning to be. The world of education today and tomorrow</w:t>
      </w:r>
      <w:r w:rsidRPr="00A874A1">
        <w:rPr>
          <w:rFonts w:eastAsia="Times New Roman" w:cstheme="minorHAnsi"/>
          <w:lang w:val="en-US"/>
        </w:rPr>
        <w:t>. Paris, UNESCO.</w:t>
      </w:r>
    </w:p>
    <w:p w:rsidR="00A874A1" w:rsidRPr="00F86FE6" w:rsidRDefault="00A874A1" w:rsidP="00A874A1">
      <w:pPr>
        <w:pStyle w:val="Plattetekst"/>
        <w:spacing w:after="0"/>
        <w:ind w:left="142" w:right="-6" w:hanging="142"/>
        <w:jc w:val="both"/>
        <w:rPr>
          <w:rStyle w:val="reference-text"/>
          <w:rFonts w:cstheme="minorHAnsi"/>
          <w:lang w:val="en-AU"/>
        </w:rPr>
      </w:pPr>
      <w:r w:rsidRPr="00F86FE6">
        <w:rPr>
          <w:rStyle w:val="reference-text"/>
          <w:rFonts w:cstheme="minorHAnsi"/>
          <w:lang w:val="en-AU"/>
        </w:rPr>
        <w:t xml:space="preserve">Freire, P. (1970). </w:t>
      </w:r>
      <w:r w:rsidRPr="00F86FE6">
        <w:rPr>
          <w:rStyle w:val="reference-text"/>
          <w:rFonts w:cstheme="minorHAnsi"/>
          <w:i/>
          <w:iCs/>
          <w:lang w:val="en-AU"/>
        </w:rPr>
        <w:t>Pedagogy of the Oppressed</w:t>
      </w:r>
      <w:r w:rsidRPr="00F86FE6">
        <w:rPr>
          <w:rStyle w:val="reference-text"/>
          <w:rFonts w:cstheme="minorHAnsi"/>
          <w:lang w:val="en-AU"/>
        </w:rPr>
        <w:t>. New York, Continuum.</w:t>
      </w:r>
    </w:p>
    <w:p w:rsidR="00A874A1" w:rsidRPr="00F86FE6" w:rsidRDefault="00A874A1" w:rsidP="00A874A1">
      <w:pPr>
        <w:ind w:left="142" w:right="-6" w:hanging="142"/>
        <w:jc w:val="both"/>
        <w:rPr>
          <w:rFonts w:eastAsia="Times New Roman" w:cstheme="minorHAnsi"/>
          <w:lang w:val="en-US"/>
        </w:rPr>
      </w:pPr>
      <w:proofErr w:type="spellStart"/>
      <w:r w:rsidRPr="00F86FE6">
        <w:rPr>
          <w:rFonts w:eastAsia="Times New Roman" w:cstheme="minorHAnsi"/>
          <w:lang w:val="en-US"/>
        </w:rPr>
        <w:t>Gelpi</w:t>
      </w:r>
      <w:proofErr w:type="spellEnd"/>
      <w:r w:rsidRPr="00F86FE6">
        <w:rPr>
          <w:rFonts w:eastAsia="Times New Roman" w:cstheme="minorHAnsi"/>
          <w:lang w:val="en-US"/>
        </w:rPr>
        <w:t xml:space="preserve">, E. (1985). </w:t>
      </w:r>
      <w:r w:rsidRPr="00F86FE6">
        <w:rPr>
          <w:rFonts w:eastAsia="Times New Roman" w:cstheme="minorHAnsi"/>
          <w:i/>
          <w:iCs/>
          <w:lang w:val="en-US"/>
        </w:rPr>
        <w:t>Lifelong Education and International relations.</w:t>
      </w:r>
      <w:r w:rsidRPr="00F86FE6">
        <w:rPr>
          <w:rFonts w:eastAsia="Times New Roman" w:cstheme="minorHAnsi"/>
          <w:lang w:val="en-US"/>
        </w:rPr>
        <w:t xml:space="preserve"> New Hampshire, Croom Helm.</w:t>
      </w:r>
    </w:p>
    <w:p w:rsidR="00F86FE6" w:rsidRPr="009361DA" w:rsidRDefault="00F86FE6" w:rsidP="00F86FE6">
      <w:pPr>
        <w:ind w:left="142" w:hanging="142"/>
        <w:rPr>
          <w:rFonts w:eastAsia="Times New Roman" w:cs="Times New Roman"/>
          <w:lang w:val="en-US"/>
        </w:rPr>
      </w:pPr>
      <w:r w:rsidRPr="00F86FE6">
        <w:rPr>
          <w:rFonts w:eastAsia="Times New Roman" w:cs="Times New Roman"/>
          <w:lang w:val="en-US"/>
        </w:rPr>
        <w:t xml:space="preserve">Giddens, A. (1991). </w:t>
      </w:r>
      <w:r w:rsidRPr="00F86FE6">
        <w:rPr>
          <w:rFonts w:eastAsia="Times New Roman" w:cs="Times New Roman"/>
          <w:i/>
          <w:iCs/>
          <w:lang w:val="en-US"/>
        </w:rPr>
        <w:t>Modernity and Self-Identity</w:t>
      </w:r>
      <w:r w:rsidRPr="00F86FE6">
        <w:rPr>
          <w:rFonts w:eastAsia="Times New Roman" w:cs="Times New Roman"/>
          <w:lang w:val="en-US"/>
        </w:rPr>
        <w:t xml:space="preserve">. </w:t>
      </w:r>
      <w:r w:rsidRPr="009361DA">
        <w:rPr>
          <w:rFonts w:eastAsia="Times New Roman" w:cs="Times New Roman"/>
          <w:lang w:val="en-US"/>
        </w:rPr>
        <w:t>Cambridge, Polity.</w:t>
      </w:r>
    </w:p>
    <w:p w:rsidR="00A874A1" w:rsidRPr="00A874A1" w:rsidRDefault="00A874A1" w:rsidP="00A874A1">
      <w:pPr>
        <w:ind w:left="142" w:right="-6" w:hanging="142"/>
        <w:jc w:val="both"/>
        <w:rPr>
          <w:rFonts w:eastAsia="Times New Roman" w:cstheme="minorHAnsi"/>
          <w:lang w:val="en-US"/>
        </w:rPr>
      </w:pPr>
      <w:r w:rsidRPr="00F86FE6">
        <w:rPr>
          <w:rFonts w:eastAsia="Times New Roman" w:cstheme="minorHAnsi"/>
          <w:lang w:val="en-US"/>
        </w:rPr>
        <w:t>Hobsbawm</w:t>
      </w:r>
      <w:r w:rsidRPr="00A874A1">
        <w:rPr>
          <w:rFonts w:eastAsia="Times New Roman" w:cstheme="minorHAnsi"/>
          <w:lang w:val="en-US"/>
        </w:rPr>
        <w:t xml:space="preserve">, E. (1994). </w:t>
      </w:r>
      <w:r w:rsidRPr="00A874A1">
        <w:rPr>
          <w:rFonts w:eastAsia="Times New Roman" w:cstheme="minorHAnsi"/>
          <w:i/>
          <w:iCs/>
          <w:lang w:val="en-US"/>
        </w:rPr>
        <w:t>Age of Extremes. The short twentieth century 1914-1991</w:t>
      </w:r>
      <w:r w:rsidRPr="00A874A1">
        <w:rPr>
          <w:rFonts w:eastAsia="Times New Roman" w:cstheme="minorHAnsi"/>
          <w:lang w:val="en-US"/>
        </w:rPr>
        <w:t xml:space="preserve">. London, </w:t>
      </w:r>
      <w:r>
        <w:rPr>
          <w:rFonts w:eastAsia="Times New Roman" w:cstheme="minorHAnsi"/>
          <w:lang w:val="en-US"/>
        </w:rPr>
        <w:t>MJ</w:t>
      </w:r>
      <w:r w:rsidRPr="00A874A1">
        <w:rPr>
          <w:rFonts w:eastAsia="Times New Roman" w:cstheme="minorHAnsi"/>
          <w:lang w:val="en-US"/>
        </w:rPr>
        <w:t>.</w:t>
      </w:r>
    </w:p>
    <w:p w:rsidR="00A874A1" w:rsidRPr="00A874A1" w:rsidRDefault="00A874A1" w:rsidP="00A874A1">
      <w:pPr>
        <w:tabs>
          <w:tab w:val="left" w:pos="180"/>
        </w:tabs>
        <w:ind w:left="142" w:right="-6" w:hanging="142"/>
        <w:rPr>
          <w:rFonts w:cstheme="minorHAnsi"/>
          <w:lang w:val="en-AU"/>
        </w:rPr>
      </w:pPr>
      <w:r w:rsidRPr="00A874A1">
        <w:rPr>
          <w:rFonts w:cstheme="minorHAnsi"/>
          <w:lang w:val="en-AU"/>
        </w:rPr>
        <w:t xml:space="preserve">Narayan, D. (ed.) (2005). </w:t>
      </w:r>
      <w:r w:rsidRPr="00A874A1">
        <w:rPr>
          <w:rFonts w:cstheme="minorHAnsi"/>
          <w:i/>
          <w:lang w:val="en-AU"/>
        </w:rPr>
        <w:t>Measuring Empowerment.</w:t>
      </w:r>
      <w:r w:rsidRPr="00A874A1">
        <w:rPr>
          <w:rFonts w:cstheme="minorHAnsi"/>
          <w:lang w:val="en-AU"/>
        </w:rPr>
        <w:t xml:space="preserve"> Washington: The World Bank.</w:t>
      </w:r>
    </w:p>
    <w:p w:rsidR="00A874A1" w:rsidRPr="00A874A1" w:rsidRDefault="00A874A1" w:rsidP="00A874A1">
      <w:pPr>
        <w:autoSpaceDE w:val="0"/>
        <w:autoSpaceDN w:val="0"/>
        <w:adjustRightInd w:val="0"/>
        <w:ind w:left="142" w:right="-6" w:hanging="142"/>
        <w:jc w:val="both"/>
        <w:rPr>
          <w:rFonts w:cstheme="minorHAnsi"/>
          <w:lang w:val="en-US"/>
        </w:rPr>
      </w:pPr>
      <w:r w:rsidRPr="00A874A1">
        <w:rPr>
          <w:rFonts w:cstheme="minorHAnsi"/>
          <w:lang w:val="en-US"/>
        </w:rPr>
        <w:t xml:space="preserve">Rickabaugh, J.R. (2012). </w:t>
      </w:r>
      <w:r w:rsidRPr="00A874A1">
        <w:rPr>
          <w:rFonts w:cstheme="minorHAnsi"/>
          <w:i/>
          <w:lang w:val="en-US"/>
        </w:rPr>
        <w:t>Learning Independence Continuum.</w:t>
      </w:r>
      <w:r w:rsidRPr="00A874A1">
        <w:rPr>
          <w:rFonts w:cstheme="minorHAnsi"/>
          <w:lang w:val="en-US"/>
        </w:rPr>
        <w:t xml:space="preserve"> Pewaukee, CESA.</w:t>
      </w:r>
    </w:p>
    <w:p w:rsidR="00A874A1" w:rsidRDefault="00A874A1" w:rsidP="00A874A1">
      <w:pPr>
        <w:pStyle w:val="TableText"/>
        <w:spacing w:line="240" w:lineRule="auto"/>
        <w:ind w:left="0" w:right="-6"/>
        <w:jc w:val="both"/>
        <w:rPr>
          <w:rFonts w:asciiTheme="minorHAnsi" w:eastAsia="Times New Roman" w:hAnsiTheme="minorHAnsi" w:cstheme="minorHAnsi"/>
          <w:lang w:val="en-US"/>
        </w:rPr>
      </w:pPr>
      <w:r w:rsidRPr="00A874A1">
        <w:rPr>
          <w:rFonts w:asciiTheme="minorHAnsi" w:eastAsia="Times New Roman" w:hAnsiTheme="minorHAnsi" w:cstheme="minorHAnsi"/>
          <w:lang w:val="en-US"/>
        </w:rPr>
        <w:t xml:space="preserve">Singh, M. (2015). </w:t>
      </w:r>
      <w:r w:rsidRPr="00A874A1">
        <w:rPr>
          <w:rFonts w:asciiTheme="minorHAnsi" w:eastAsia="Times New Roman" w:hAnsiTheme="minorHAnsi" w:cstheme="minorHAnsi"/>
          <w:i/>
          <w:lang w:val="en-US"/>
        </w:rPr>
        <w:t xml:space="preserve">Global perspectives on </w:t>
      </w:r>
      <w:proofErr w:type="spellStart"/>
      <w:r w:rsidRPr="00A874A1">
        <w:rPr>
          <w:rFonts w:asciiTheme="minorHAnsi" w:eastAsia="Times New Roman" w:hAnsiTheme="minorHAnsi" w:cstheme="minorHAnsi"/>
          <w:i/>
          <w:lang w:val="en-US"/>
        </w:rPr>
        <w:t>recognising</w:t>
      </w:r>
      <w:proofErr w:type="spellEnd"/>
      <w:r w:rsidRPr="00A874A1">
        <w:rPr>
          <w:rFonts w:asciiTheme="minorHAnsi" w:eastAsia="Times New Roman" w:hAnsiTheme="minorHAnsi" w:cstheme="minorHAnsi"/>
          <w:i/>
          <w:lang w:val="en-US"/>
        </w:rPr>
        <w:t xml:space="preserve"> non-formal and informal learning. </w:t>
      </w:r>
      <w:r w:rsidRPr="00A874A1">
        <w:rPr>
          <w:rFonts w:asciiTheme="minorHAnsi" w:eastAsia="Times New Roman" w:hAnsiTheme="minorHAnsi" w:cstheme="minorHAnsi"/>
          <w:lang w:val="en-US"/>
        </w:rPr>
        <w:t>Heidelberg/Hamburg, Springer/UIL</w:t>
      </w:r>
      <w:r w:rsidR="00084005">
        <w:rPr>
          <w:rFonts w:asciiTheme="minorHAnsi" w:eastAsia="Times New Roman" w:hAnsiTheme="minorHAnsi" w:cstheme="minorHAnsi"/>
          <w:lang w:val="en-US"/>
        </w:rPr>
        <w:t>.</w:t>
      </w:r>
    </w:p>
    <w:p w:rsidR="00084005" w:rsidRDefault="00084005" w:rsidP="00A874A1">
      <w:pPr>
        <w:pStyle w:val="TableText"/>
        <w:spacing w:line="240" w:lineRule="auto"/>
        <w:ind w:left="0" w:right="-6"/>
        <w:jc w:val="both"/>
        <w:rPr>
          <w:rFonts w:asciiTheme="minorHAnsi" w:eastAsia="Times New Roman" w:hAnsiTheme="minorHAnsi" w:cstheme="minorHAnsi"/>
          <w:lang w:val="en-US"/>
        </w:rPr>
      </w:pPr>
    </w:p>
    <w:p w:rsidR="00084005" w:rsidRPr="00084005" w:rsidRDefault="00084005" w:rsidP="00A874A1">
      <w:pPr>
        <w:pStyle w:val="TableText"/>
        <w:spacing w:line="240" w:lineRule="auto"/>
        <w:ind w:left="0" w:right="-6"/>
        <w:jc w:val="both"/>
        <w:rPr>
          <w:rFonts w:asciiTheme="minorHAnsi" w:eastAsia="Times New Roman" w:hAnsiTheme="minorHAnsi" w:cstheme="minorHAnsi"/>
          <w:b/>
          <w:bCs/>
          <w:sz w:val="22"/>
          <w:szCs w:val="22"/>
          <w:lang w:val="en-US"/>
        </w:rPr>
      </w:pPr>
      <w:r w:rsidRPr="00084005">
        <w:rPr>
          <w:rFonts w:asciiTheme="minorHAnsi" w:eastAsia="Times New Roman" w:hAnsiTheme="minorHAnsi" w:cstheme="minorHAnsi"/>
          <w:b/>
          <w:bCs/>
          <w:sz w:val="22"/>
          <w:szCs w:val="22"/>
          <w:lang w:val="en-US"/>
        </w:rPr>
        <w:t>Authors</w:t>
      </w:r>
    </w:p>
    <w:p w:rsidR="00084005" w:rsidRPr="00084005" w:rsidRDefault="00084005" w:rsidP="00084005">
      <w:pPr>
        <w:pStyle w:val="Voetnoottekst"/>
        <w:spacing w:line="240" w:lineRule="auto"/>
        <w:ind w:right="-6"/>
        <w:jc w:val="both"/>
        <w:rPr>
          <w:rFonts w:asciiTheme="minorHAnsi" w:hAnsiTheme="minorHAnsi" w:cstheme="minorHAnsi"/>
          <w:lang w:val="en-AU"/>
        </w:rPr>
      </w:pPr>
      <w:r w:rsidRPr="00084005">
        <w:rPr>
          <w:rFonts w:asciiTheme="minorHAnsi" w:hAnsiTheme="minorHAnsi" w:cstheme="minorHAnsi"/>
          <w:b/>
          <w:lang w:val="en-US"/>
        </w:rPr>
        <w:t>Rosa Duvekot</w:t>
      </w:r>
      <w:r w:rsidRPr="00084005">
        <w:rPr>
          <w:rFonts w:asciiTheme="minorHAnsi" w:hAnsiTheme="minorHAnsi" w:cstheme="minorHAnsi"/>
          <w:lang w:val="en-US"/>
        </w:rPr>
        <w:t xml:space="preserve">, MSc, is </w:t>
      </w:r>
      <w:r w:rsidRPr="00084005">
        <w:rPr>
          <w:rFonts w:asciiTheme="minorHAnsi" w:hAnsiTheme="minorHAnsi" w:cstheme="minorHAnsi"/>
          <w:lang w:val="en-AU"/>
        </w:rPr>
        <w:t xml:space="preserve">researcher </w:t>
      </w:r>
      <w:r>
        <w:rPr>
          <w:rFonts w:asciiTheme="minorHAnsi" w:hAnsiTheme="minorHAnsi" w:cstheme="minorHAnsi"/>
          <w:lang w:val="en-AU"/>
        </w:rPr>
        <w:t>for</w:t>
      </w:r>
      <w:r w:rsidRPr="00084005">
        <w:rPr>
          <w:rFonts w:asciiTheme="minorHAnsi" w:hAnsiTheme="minorHAnsi" w:cstheme="minorHAnsi"/>
          <w:lang w:val="en-AU"/>
        </w:rPr>
        <w:t xml:space="preserve"> the European Centre Valuation Prior Learning (</w:t>
      </w:r>
      <w:hyperlink r:id="rId8" w:history="1">
        <w:r w:rsidRPr="00084005">
          <w:rPr>
            <w:rStyle w:val="Hyperlink"/>
            <w:rFonts w:asciiTheme="minorHAnsi" w:hAnsiTheme="minorHAnsi" w:cstheme="minorHAnsi"/>
            <w:lang w:val="en-US"/>
          </w:rPr>
          <w:t>https://</w:t>
        </w:r>
        <w:r w:rsidRPr="00084005">
          <w:rPr>
            <w:rStyle w:val="Hyperlink"/>
            <w:rFonts w:asciiTheme="minorHAnsi" w:hAnsiTheme="minorHAnsi" w:cstheme="minorHAnsi"/>
            <w:lang w:val="en-AU"/>
          </w:rPr>
          <w:t>ec-vpl.nl</w:t>
        </w:r>
      </w:hyperlink>
      <w:r w:rsidRPr="00084005">
        <w:rPr>
          <w:rFonts w:asciiTheme="minorHAnsi" w:hAnsiTheme="minorHAnsi" w:cstheme="minorHAnsi"/>
          <w:lang w:val="en-AU"/>
        </w:rPr>
        <w:t>) and autonomous film producer. She holds a master’s degree in Film Studies and Visual Culture (University of Antwerp, Belgium).</w:t>
      </w:r>
    </w:p>
    <w:p w:rsidR="00084005" w:rsidRPr="00084005" w:rsidRDefault="00084005" w:rsidP="00084005">
      <w:pPr>
        <w:pStyle w:val="TableText"/>
        <w:spacing w:line="240" w:lineRule="auto"/>
        <w:ind w:left="0" w:right="-6"/>
        <w:jc w:val="both"/>
        <w:rPr>
          <w:rFonts w:asciiTheme="minorHAnsi" w:hAnsiTheme="minorHAnsi" w:cstheme="minorHAnsi"/>
          <w:szCs w:val="20"/>
        </w:rPr>
      </w:pPr>
      <w:r w:rsidRPr="00084005">
        <w:rPr>
          <w:rFonts w:asciiTheme="minorHAnsi" w:hAnsiTheme="minorHAnsi" w:cstheme="minorHAnsi"/>
          <w:b/>
          <w:szCs w:val="20"/>
          <w:lang w:val="en-AU"/>
        </w:rPr>
        <w:t>Ruud Duvekot</w:t>
      </w:r>
      <w:r w:rsidRPr="00084005">
        <w:rPr>
          <w:rFonts w:asciiTheme="minorHAnsi" w:hAnsiTheme="minorHAnsi" w:cstheme="minorHAnsi"/>
          <w:szCs w:val="20"/>
          <w:lang w:val="en-AU"/>
        </w:rPr>
        <w:t xml:space="preserve">, PhD, chairs the European Centre Valuation Prior Learning and is Associate Professor at Utrecht University of Applied Sciences. He </w:t>
      </w:r>
      <w:r w:rsidRPr="00084005">
        <w:rPr>
          <w:rFonts w:asciiTheme="minorHAnsi" w:hAnsiTheme="minorHAnsi" w:cstheme="minorHAnsi"/>
          <w:szCs w:val="20"/>
        </w:rPr>
        <w:t>holds a PhD at Utrecht University (the Netherlands). In his thesis he examined the impact of VPL on the shifting learning paradigm from top-down, education-steered learning to bottom-up steered, personalised learning.</w:t>
      </w:r>
    </w:p>
    <w:sectPr w:rsidR="00084005" w:rsidRPr="00084005" w:rsidSect="00AD7C0C">
      <w:footerReference w:type="even" r:id="rId9"/>
      <w:footerReference w:type="default" r:id="rId10"/>
      <w:pgSz w:w="11900" w:h="16840"/>
      <w:pgMar w:top="1417" w:right="1417" w:bottom="119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4A7" w:rsidRDefault="008334A7" w:rsidP="00114005">
      <w:r>
        <w:separator/>
      </w:r>
    </w:p>
  </w:endnote>
  <w:endnote w:type="continuationSeparator" w:id="0">
    <w:p w:rsidR="008334A7" w:rsidRDefault="008334A7" w:rsidP="0011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oundryOldStyleNormal">
    <w:altName w:val="Courier New"/>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Times New Roman (Koppen CS)">
    <w:altName w:val="Times New Roman"/>
    <w:panose1 w:val="020B06040202020202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43174568"/>
      <w:docPartObj>
        <w:docPartGallery w:val="Page Numbers (Bottom of Page)"/>
        <w:docPartUnique/>
      </w:docPartObj>
    </w:sdtPr>
    <w:sdtContent>
      <w:p w:rsidR="0082018E" w:rsidRDefault="0082018E" w:rsidP="0082018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82018E" w:rsidRDefault="0082018E" w:rsidP="00C2103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08155127"/>
      <w:docPartObj>
        <w:docPartGallery w:val="Page Numbers (Bottom of Page)"/>
        <w:docPartUnique/>
      </w:docPartObj>
    </w:sdtPr>
    <w:sdtContent>
      <w:p w:rsidR="0082018E" w:rsidRDefault="0082018E" w:rsidP="0082018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82018E" w:rsidRDefault="0082018E" w:rsidP="00C2103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4A7" w:rsidRDefault="008334A7" w:rsidP="00114005">
      <w:r>
        <w:separator/>
      </w:r>
    </w:p>
  </w:footnote>
  <w:footnote w:type="continuationSeparator" w:id="0">
    <w:p w:rsidR="008334A7" w:rsidRDefault="008334A7" w:rsidP="00114005">
      <w:r>
        <w:continuationSeparator/>
      </w:r>
    </w:p>
  </w:footnote>
  <w:footnote w:id="1">
    <w:p w:rsidR="0082018E" w:rsidRPr="00114005" w:rsidRDefault="0082018E" w:rsidP="00EA12D3">
      <w:pPr>
        <w:pStyle w:val="Voetnoottekst"/>
        <w:tabs>
          <w:tab w:val="left" w:pos="142"/>
        </w:tabs>
        <w:spacing w:line="240" w:lineRule="auto"/>
        <w:ind w:left="284" w:hanging="284"/>
        <w:rPr>
          <w:rFonts w:asciiTheme="minorHAnsi" w:hAnsiTheme="minorHAnsi" w:cstheme="minorHAnsi"/>
          <w:color w:val="538135" w:themeColor="accent6" w:themeShade="BF"/>
          <w:sz w:val="16"/>
          <w:szCs w:val="16"/>
          <w:lang w:val="en-US"/>
        </w:rPr>
      </w:pPr>
      <w:r w:rsidRPr="00114005">
        <w:rPr>
          <w:rStyle w:val="Voetnootmarkering"/>
          <w:rFonts w:asciiTheme="minorHAnsi" w:hAnsiTheme="minorHAnsi" w:cstheme="minorHAnsi"/>
          <w:sz w:val="16"/>
          <w:szCs w:val="16"/>
          <w:vertAlign w:val="baseline"/>
        </w:rPr>
        <w:footnoteRef/>
      </w:r>
      <w:r w:rsidRPr="00114005">
        <w:rPr>
          <w:rFonts w:asciiTheme="minorHAnsi" w:hAnsiTheme="minorHAnsi" w:cstheme="minorHAnsi"/>
          <w:sz w:val="16"/>
          <w:szCs w:val="16"/>
          <w:lang w:val="en-US"/>
        </w:rPr>
        <w:t xml:space="preserve"> </w:t>
      </w:r>
      <w:r w:rsidRPr="00114005">
        <w:rPr>
          <w:rFonts w:asciiTheme="minorHAnsi" w:hAnsiTheme="minorHAnsi" w:cstheme="minorHAnsi"/>
          <w:sz w:val="16"/>
          <w:szCs w:val="16"/>
          <w:lang w:val="en-US"/>
        </w:rPr>
        <w:tab/>
      </w:r>
      <w:r w:rsidRPr="00114005">
        <w:rPr>
          <w:rFonts w:asciiTheme="minorHAnsi" w:hAnsiTheme="minorHAnsi" w:cstheme="minorHAnsi"/>
          <w:sz w:val="16"/>
          <w:szCs w:val="16"/>
          <w:lang w:val="en-US"/>
        </w:rPr>
        <w:tab/>
      </w:r>
      <w:r>
        <w:rPr>
          <w:rFonts w:asciiTheme="minorHAnsi" w:hAnsiTheme="minorHAnsi" w:cstheme="minorHAnsi"/>
          <w:sz w:val="16"/>
          <w:szCs w:val="16"/>
          <w:lang w:val="en-US"/>
        </w:rPr>
        <w:t>‘S</w:t>
      </w:r>
      <w:r w:rsidRPr="00114005">
        <w:rPr>
          <w:rFonts w:asciiTheme="minorHAnsi" w:hAnsiTheme="minorHAnsi" w:cstheme="minorHAnsi"/>
          <w:sz w:val="16"/>
          <w:szCs w:val="16"/>
          <w:lang w:val="en-US"/>
        </w:rPr>
        <w:t>he’ or ‘her’</w:t>
      </w:r>
      <w:r>
        <w:rPr>
          <w:rFonts w:asciiTheme="minorHAnsi" w:hAnsiTheme="minorHAnsi" w:cstheme="minorHAnsi"/>
          <w:sz w:val="16"/>
          <w:szCs w:val="16"/>
          <w:lang w:val="en-US"/>
        </w:rPr>
        <w:t xml:space="preserve"> </w:t>
      </w:r>
      <w:r w:rsidRPr="00114005">
        <w:rPr>
          <w:rFonts w:asciiTheme="minorHAnsi" w:hAnsiTheme="minorHAnsi" w:cstheme="minorHAnsi"/>
          <w:sz w:val="16"/>
          <w:szCs w:val="16"/>
          <w:lang w:val="en-US"/>
        </w:rPr>
        <w:t>also mean ‘he’, ‘his’ or him’.</w:t>
      </w:r>
    </w:p>
  </w:footnote>
  <w:footnote w:id="2">
    <w:p w:rsidR="0082018E" w:rsidRPr="00EA12D3" w:rsidRDefault="0082018E" w:rsidP="00114005">
      <w:pPr>
        <w:pStyle w:val="Voetnoottekst"/>
        <w:tabs>
          <w:tab w:val="left" w:pos="284"/>
        </w:tabs>
        <w:spacing w:line="240" w:lineRule="auto"/>
        <w:ind w:left="284" w:hanging="284"/>
        <w:rPr>
          <w:rFonts w:asciiTheme="minorHAnsi" w:hAnsiTheme="minorHAnsi" w:cstheme="minorHAnsi"/>
          <w:sz w:val="16"/>
          <w:szCs w:val="16"/>
          <w:lang w:val="en-US"/>
        </w:rPr>
      </w:pPr>
      <w:r w:rsidRPr="00EA12D3">
        <w:rPr>
          <w:rStyle w:val="Voetnootmarkering"/>
          <w:rFonts w:asciiTheme="minorHAnsi" w:hAnsiTheme="minorHAnsi" w:cstheme="minorHAnsi"/>
          <w:sz w:val="16"/>
          <w:szCs w:val="16"/>
          <w:vertAlign w:val="baseline"/>
        </w:rPr>
        <w:footnoteRef/>
      </w:r>
      <w:r w:rsidRPr="00EA12D3">
        <w:rPr>
          <w:rFonts w:asciiTheme="minorHAnsi" w:hAnsiTheme="minorHAnsi" w:cstheme="minorHAnsi"/>
          <w:sz w:val="16"/>
          <w:szCs w:val="16"/>
          <w:lang w:val="en-US"/>
        </w:rPr>
        <w:t xml:space="preserve"> </w:t>
      </w:r>
      <w:r w:rsidRPr="00EA12D3">
        <w:rPr>
          <w:rFonts w:asciiTheme="minorHAnsi" w:hAnsiTheme="minorHAnsi" w:cstheme="minorHAnsi"/>
          <w:sz w:val="16"/>
          <w:szCs w:val="16"/>
          <w:lang w:val="en-US"/>
        </w:rPr>
        <w:tab/>
      </w:r>
      <w:hyperlink r:id="rId1" w:history="1">
        <w:r w:rsidRPr="00EA12D3">
          <w:rPr>
            <w:rStyle w:val="Hyperlink"/>
            <w:rFonts w:asciiTheme="minorHAnsi" w:hAnsiTheme="minorHAnsi" w:cstheme="minorHAnsi"/>
            <w:sz w:val="16"/>
            <w:szCs w:val="16"/>
            <w:lang w:val="en-US"/>
          </w:rPr>
          <w:t>http://vince.eucen.eu</w:t>
        </w:r>
      </w:hyperlink>
      <w:r>
        <w:rPr>
          <w:rFonts w:asciiTheme="minorHAnsi" w:hAnsiTheme="minorHAnsi" w:cstheme="minorHAnsi"/>
          <w:color w:val="000000" w:themeColor="text1"/>
          <w:sz w:val="16"/>
          <w:szCs w:val="16"/>
          <w:lang w:val="en-US"/>
        </w:rPr>
        <w:t xml:space="preserve"> or </w:t>
      </w:r>
      <w:r w:rsidRPr="00EA12D3">
        <w:rPr>
          <w:rFonts w:asciiTheme="minorHAnsi" w:hAnsiTheme="minorHAnsi" w:cstheme="minorHAnsi"/>
          <w:color w:val="000000" w:themeColor="text1"/>
          <w:sz w:val="16"/>
          <w:szCs w:val="16"/>
          <w:lang w:val="en-US"/>
        </w:rPr>
        <w:t xml:space="preserve"> </w:t>
      </w:r>
      <w:hyperlink r:id="rId2" w:history="1">
        <w:r w:rsidRPr="00A37C4F">
          <w:rPr>
            <w:rStyle w:val="Hyperlink"/>
            <w:rFonts w:asciiTheme="minorHAnsi" w:hAnsiTheme="minorHAnsi" w:cstheme="minorHAnsi"/>
            <w:sz w:val="16"/>
            <w:szCs w:val="16"/>
            <w:lang w:val="en-US"/>
          </w:rPr>
          <w:t>https://ec</w:t>
        </w:r>
        <w:r w:rsidRPr="00A37C4F">
          <w:rPr>
            <w:rStyle w:val="Hyperlink"/>
            <w:rFonts w:asciiTheme="minorHAnsi" w:hAnsiTheme="minorHAnsi" w:cstheme="minorHAnsi"/>
            <w:sz w:val="16"/>
            <w:szCs w:val="16"/>
            <w:lang w:val="en-US"/>
          </w:rPr>
          <w:t>-vp</w:t>
        </w:r>
        <w:r w:rsidRPr="00A37C4F">
          <w:rPr>
            <w:rStyle w:val="Hyperlink"/>
            <w:rFonts w:asciiTheme="minorHAnsi" w:hAnsiTheme="minorHAnsi" w:cstheme="minorHAnsi"/>
            <w:sz w:val="16"/>
            <w:szCs w:val="16"/>
            <w:lang w:val="en-US"/>
          </w:rPr>
          <w:t>l.nl</w:t>
        </w:r>
      </w:hyperlink>
      <w:r w:rsidRPr="00EA12D3">
        <w:rPr>
          <w:rFonts w:asciiTheme="minorHAnsi" w:hAnsiTheme="minorHAnsi" w:cstheme="minorHAnsi"/>
          <w:color w:val="000000" w:themeColor="text1"/>
          <w:sz w:val="16"/>
          <w:szCs w:val="16"/>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19C2"/>
    <w:multiLevelType w:val="hybridMultilevel"/>
    <w:tmpl w:val="D754536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3452FC"/>
    <w:multiLevelType w:val="hybridMultilevel"/>
    <w:tmpl w:val="6CFC899C"/>
    <w:lvl w:ilvl="0" w:tplc="96F25A40">
      <w:start w:val="1"/>
      <w:numFmt w:val="bullet"/>
      <w:pStyle w:val="Aufzhlung"/>
      <w:lvlText w:val="_"/>
      <w:lvlJc w:val="left"/>
      <w:pPr>
        <w:tabs>
          <w:tab w:val="num" w:pos="7307"/>
        </w:tabs>
        <w:ind w:left="7307" w:hanging="360"/>
      </w:pPr>
      <w:rPr>
        <w:rFonts w:ascii="FoundryOldStyleNormal" w:hAnsi="FoundryOldStyleNormal" w:hint="default"/>
        <w:caps w:val="0"/>
        <w:strike w:val="0"/>
        <w:dstrike w:val="0"/>
        <w:vanish w:val="0"/>
        <w:color w:val="000000"/>
        <w:w w:val="200"/>
        <w:sz w:val="28"/>
        <w:szCs w:val="28"/>
        <w:effect w:val="none"/>
        <w:vertAlign w:val="baseline"/>
      </w:rPr>
    </w:lvl>
    <w:lvl w:ilvl="1" w:tplc="A282E412" w:tentative="1">
      <w:start w:val="1"/>
      <w:numFmt w:val="bullet"/>
      <w:lvlText w:val="o"/>
      <w:lvlJc w:val="left"/>
      <w:pPr>
        <w:tabs>
          <w:tab w:val="num" w:pos="1440"/>
        </w:tabs>
        <w:ind w:left="1440" w:hanging="360"/>
      </w:pPr>
      <w:rPr>
        <w:rFonts w:ascii="Courier New" w:hAnsi="Courier New" w:cs="Courier New" w:hint="default"/>
      </w:rPr>
    </w:lvl>
    <w:lvl w:ilvl="2" w:tplc="1D801BDE" w:tentative="1">
      <w:start w:val="1"/>
      <w:numFmt w:val="bullet"/>
      <w:lvlText w:val=""/>
      <w:lvlJc w:val="left"/>
      <w:pPr>
        <w:tabs>
          <w:tab w:val="num" w:pos="2160"/>
        </w:tabs>
        <w:ind w:left="2160" w:hanging="360"/>
      </w:pPr>
      <w:rPr>
        <w:rFonts w:ascii="Wingdings" w:hAnsi="Wingdings" w:hint="default"/>
      </w:rPr>
    </w:lvl>
    <w:lvl w:ilvl="3" w:tplc="9AD8CF02" w:tentative="1">
      <w:start w:val="1"/>
      <w:numFmt w:val="bullet"/>
      <w:lvlText w:val=""/>
      <w:lvlJc w:val="left"/>
      <w:pPr>
        <w:tabs>
          <w:tab w:val="num" w:pos="2880"/>
        </w:tabs>
        <w:ind w:left="2880" w:hanging="360"/>
      </w:pPr>
      <w:rPr>
        <w:rFonts w:ascii="Symbol" w:hAnsi="Symbol" w:hint="default"/>
      </w:rPr>
    </w:lvl>
    <w:lvl w:ilvl="4" w:tplc="17CAE82A" w:tentative="1">
      <w:start w:val="1"/>
      <w:numFmt w:val="bullet"/>
      <w:lvlText w:val="o"/>
      <w:lvlJc w:val="left"/>
      <w:pPr>
        <w:tabs>
          <w:tab w:val="num" w:pos="3600"/>
        </w:tabs>
        <w:ind w:left="3600" w:hanging="360"/>
      </w:pPr>
      <w:rPr>
        <w:rFonts w:ascii="Courier New" w:hAnsi="Courier New" w:cs="Courier New" w:hint="default"/>
      </w:rPr>
    </w:lvl>
    <w:lvl w:ilvl="5" w:tplc="561E1AD0" w:tentative="1">
      <w:start w:val="1"/>
      <w:numFmt w:val="bullet"/>
      <w:lvlText w:val=""/>
      <w:lvlJc w:val="left"/>
      <w:pPr>
        <w:tabs>
          <w:tab w:val="num" w:pos="4320"/>
        </w:tabs>
        <w:ind w:left="4320" w:hanging="360"/>
      </w:pPr>
      <w:rPr>
        <w:rFonts w:ascii="Wingdings" w:hAnsi="Wingdings" w:hint="default"/>
      </w:rPr>
    </w:lvl>
    <w:lvl w:ilvl="6" w:tplc="26EA40AE" w:tentative="1">
      <w:start w:val="1"/>
      <w:numFmt w:val="bullet"/>
      <w:lvlText w:val=""/>
      <w:lvlJc w:val="left"/>
      <w:pPr>
        <w:tabs>
          <w:tab w:val="num" w:pos="5040"/>
        </w:tabs>
        <w:ind w:left="5040" w:hanging="360"/>
      </w:pPr>
      <w:rPr>
        <w:rFonts w:ascii="Symbol" w:hAnsi="Symbol" w:hint="default"/>
      </w:rPr>
    </w:lvl>
    <w:lvl w:ilvl="7" w:tplc="B3A086A2" w:tentative="1">
      <w:start w:val="1"/>
      <w:numFmt w:val="bullet"/>
      <w:lvlText w:val="o"/>
      <w:lvlJc w:val="left"/>
      <w:pPr>
        <w:tabs>
          <w:tab w:val="num" w:pos="5760"/>
        </w:tabs>
        <w:ind w:left="5760" w:hanging="360"/>
      </w:pPr>
      <w:rPr>
        <w:rFonts w:ascii="Courier New" w:hAnsi="Courier New" w:cs="Courier New" w:hint="default"/>
      </w:rPr>
    </w:lvl>
    <w:lvl w:ilvl="8" w:tplc="617C71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1475"/>
    <w:multiLevelType w:val="multilevel"/>
    <w:tmpl w:val="241819BA"/>
    <w:styleLink w:val="NumbLstBTBullet"/>
    <w:lvl w:ilvl="0">
      <w:start w:val="1"/>
      <w:numFmt w:val="bullet"/>
      <w:pStyle w:val="BTBullet1"/>
      <w:lvlText w:val="■"/>
      <w:lvlJc w:val="left"/>
      <w:pPr>
        <w:tabs>
          <w:tab w:val="num" w:pos="1191"/>
        </w:tabs>
        <w:ind w:left="1191" w:hanging="340"/>
      </w:pPr>
      <w:rPr>
        <w:rFonts w:ascii="Arial" w:hAnsi="Arial" w:hint="default"/>
        <w:color w:val="auto"/>
      </w:rPr>
    </w:lvl>
    <w:lvl w:ilvl="1">
      <w:start w:val="1"/>
      <w:numFmt w:val="bullet"/>
      <w:pStyle w:val="BTBullet2"/>
      <w:lvlText w:val="–"/>
      <w:lvlJc w:val="left"/>
      <w:pPr>
        <w:tabs>
          <w:tab w:val="num" w:pos="1531"/>
        </w:tabs>
        <w:ind w:left="1531" w:hanging="340"/>
      </w:pPr>
      <w:rPr>
        <w:rFonts w:ascii="Arial" w:hAnsi="Arial" w:hint="default"/>
        <w:color w:val="auto"/>
      </w:rPr>
    </w:lvl>
    <w:lvl w:ilvl="2">
      <w:start w:val="1"/>
      <w:numFmt w:val="bullet"/>
      <w:pStyle w:val="BTBullet3"/>
      <w:lvlText w:val="○"/>
      <w:lvlJc w:val="left"/>
      <w:pPr>
        <w:tabs>
          <w:tab w:val="num" w:pos="1871"/>
        </w:tabs>
        <w:ind w:left="1871" w:hanging="340"/>
      </w:pPr>
      <w:rPr>
        <w:rFonts w:ascii="Arial" w:hAnsi="Arial" w:hint="default"/>
        <w:color w:val="auto"/>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3" w15:restartNumberingAfterBreak="0">
    <w:nsid w:val="51433BFD"/>
    <w:multiLevelType w:val="hybridMultilevel"/>
    <w:tmpl w:val="DB7E00AC"/>
    <w:lvl w:ilvl="0" w:tplc="01BAB142">
      <w:start w:val="1"/>
      <w:numFmt w:val="decimal"/>
      <w:lvlText w:val="%1."/>
      <w:lvlJc w:val="left"/>
      <w:pPr>
        <w:ind w:left="417" w:hanging="360"/>
      </w:pPr>
      <w:rPr>
        <w:rFonts w:hint="default"/>
      </w:rPr>
    </w:lvl>
    <w:lvl w:ilvl="1" w:tplc="04130019" w:tentative="1">
      <w:start w:val="1"/>
      <w:numFmt w:val="lowerLetter"/>
      <w:lvlText w:val="%2."/>
      <w:lvlJc w:val="left"/>
      <w:pPr>
        <w:ind w:left="1137" w:hanging="360"/>
      </w:pPr>
    </w:lvl>
    <w:lvl w:ilvl="2" w:tplc="0413001B" w:tentative="1">
      <w:start w:val="1"/>
      <w:numFmt w:val="lowerRoman"/>
      <w:lvlText w:val="%3."/>
      <w:lvlJc w:val="right"/>
      <w:pPr>
        <w:ind w:left="1857" w:hanging="180"/>
      </w:pPr>
    </w:lvl>
    <w:lvl w:ilvl="3" w:tplc="0413000F" w:tentative="1">
      <w:start w:val="1"/>
      <w:numFmt w:val="decimal"/>
      <w:lvlText w:val="%4."/>
      <w:lvlJc w:val="left"/>
      <w:pPr>
        <w:ind w:left="2577" w:hanging="360"/>
      </w:pPr>
    </w:lvl>
    <w:lvl w:ilvl="4" w:tplc="04130019" w:tentative="1">
      <w:start w:val="1"/>
      <w:numFmt w:val="lowerLetter"/>
      <w:lvlText w:val="%5."/>
      <w:lvlJc w:val="left"/>
      <w:pPr>
        <w:ind w:left="3297" w:hanging="360"/>
      </w:pPr>
    </w:lvl>
    <w:lvl w:ilvl="5" w:tplc="0413001B" w:tentative="1">
      <w:start w:val="1"/>
      <w:numFmt w:val="lowerRoman"/>
      <w:lvlText w:val="%6."/>
      <w:lvlJc w:val="right"/>
      <w:pPr>
        <w:ind w:left="4017" w:hanging="180"/>
      </w:pPr>
    </w:lvl>
    <w:lvl w:ilvl="6" w:tplc="0413000F" w:tentative="1">
      <w:start w:val="1"/>
      <w:numFmt w:val="decimal"/>
      <w:lvlText w:val="%7."/>
      <w:lvlJc w:val="left"/>
      <w:pPr>
        <w:ind w:left="4737" w:hanging="360"/>
      </w:pPr>
    </w:lvl>
    <w:lvl w:ilvl="7" w:tplc="04130019" w:tentative="1">
      <w:start w:val="1"/>
      <w:numFmt w:val="lowerLetter"/>
      <w:lvlText w:val="%8."/>
      <w:lvlJc w:val="left"/>
      <w:pPr>
        <w:ind w:left="5457" w:hanging="360"/>
      </w:pPr>
    </w:lvl>
    <w:lvl w:ilvl="8" w:tplc="0413001B" w:tentative="1">
      <w:start w:val="1"/>
      <w:numFmt w:val="lowerRoman"/>
      <w:lvlText w:val="%9."/>
      <w:lvlJc w:val="right"/>
      <w:pPr>
        <w:ind w:left="6177" w:hanging="180"/>
      </w:pPr>
    </w:lvl>
  </w:abstractNum>
  <w:abstractNum w:abstractNumId="4" w15:restartNumberingAfterBreak="0">
    <w:nsid w:val="58F14EA7"/>
    <w:multiLevelType w:val="hybridMultilevel"/>
    <w:tmpl w:val="2E62D474"/>
    <w:lvl w:ilvl="0" w:tplc="605C41FE">
      <w:start w:val="2"/>
      <w:numFmt w:val="bullet"/>
      <w:lvlText w:val="-"/>
      <w:lvlJc w:val="left"/>
      <w:pPr>
        <w:ind w:left="720" w:hanging="360"/>
      </w:pPr>
      <w:rPr>
        <w:rFonts w:ascii="Calibri" w:eastAsia="Times New Roman"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A3198"/>
    <w:multiLevelType w:val="hybridMultilevel"/>
    <w:tmpl w:val="1FAEC3C0"/>
    <w:lvl w:ilvl="0" w:tplc="47E6B8B2">
      <w:start w:val="1"/>
      <w:numFmt w:val="decimal"/>
      <w:lvlText w:val="%1."/>
      <w:lvlJc w:val="left"/>
      <w:pPr>
        <w:tabs>
          <w:tab w:val="num" w:pos="720"/>
        </w:tabs>
        <w:ind w:left="720" w:hanging="360"/>
      </w:pPr>
      <w:rPr>
        <w:rFonts w:hint="default"/>
      </w:rPr>
    </w:lvl>
    <w:lvl w:ilvl="1" w:tplc="0413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4822B5F"/>
    <w:multiLevelType w:val="hybridMultilevel"/>
    <w:tmpl w:val="851867B8"/>
    <w:lvl w:ilvl="0" w:tplc="22CC4F1E">
      <w:start w:val="1"/>
      <w:numFmt w:val="decimal"/>
      <w:lvlText w:val="%1."/>
      <w:lvlJc w:val="left"/>
      <w:pPr>
        <w:ind w:left="253" w:hanging="360"/>
      </w:pPr>
      <w:rPr>
        <w:rFonts w:hint="default"/>
      </w:rPr>
    </w:lvl>
    <w:lvl w:ilvl="1" w:tplc="04130019" w:tentative="1">
      <w:start w:val="1"/>
      <w:numFmt w:val="lowerLetter"/>
      <w:lvlText w:val="%2."/>
      <w:lvlJc w:val="left"/>
      <w:pPr>
        <w:ind w:left="973" w:hanging="360"/>
      </w:pPr>
    </w:lvl>
    <w:lvl w:ilvl="2" w:tplc="0413001B" w:tentative="1">
      <w:start w:val="1"/>
      <w:numFmt w:val="lowerRoman"/>
      <w:lvlText w:val="%3."/>
      <w:lvlJc w:val="right"/>
      <w:pPr>
        <w:ind w:left="1693" w:hanging="180"/>
      </w:pPr>
    </w:lvl>
    <w:lvl w:ilvl="3" w:tplc="0413000F" w:tentative="1">
      <w:start w:val="1"/>
      <w:numFmt w:val="decimal"/>
      <w:lvlText w:val="%4."/>
      <w:lvlJc w:val="left"/>
      <w:pPr>
        <w:ind w:left="2413" w:hanging="360"/>
      </w:pPr>
    </w:lvl>
    <w:lvl w:ilvl="4" w:tplc="04130019" w:tentative="1">
      <w:start w:val="1"/>
      <w:numFmt w:val="lowerLetter"/>
      <w:lvlText w:val="%5."/>
      <w:lvlJc w:val="left"/>
      <w:pPr>
        <w:ind w:left="3133" w:hanging="360"/>
      </w:pPr>
    </w:lvl>
    <w:lvl w:ilvl="5" w:tplc="0413001B" w:tentative="1">
      <w:start w:val="1"/>
      <w:numFmt w:val="lowerRoman"/>
      <w:lvlText w:val="%6."/>
      <w:lvlJc w:val="right"/>
      <w:pPr>
        <w:ind w:left="3853" w:hanging="180"/>
      </w:pPr>
    </w:lvl>
    <w:lvl w:ilvl="6" w:tplc="0413000F" w:tentative="1">
      <w:start w:val="1"/>
      <w:numFmt w:val="decimal"/>
      <w:lvlText w:val="%7."/>
      <w:lvlJc w:val="left"/>
      <w:pPr>
        <w:ind w:left="4573" w:hanging="360"/>
      </w:pPr>
    </w:lvl>
    <w:lvl w:ilvl="7" w:tplc="04130019" w:tentative="1">
      <w:start w:val="1"/>
      <w:numFmt w:val="lowerLetter"/>
      <w:lvlText w:val="%8."/>
      <w:lvlJc w:val="left"/>
      <w:pPr>
        <w:ind w:left="5293" w:hanging="360"/>
      </w:pPr>
    </w:lvl>
    <w:lvl w:ilvl="8" w:tplc="0413001B" w:tentative="1">
      <w:start w:val="1"/>
      <w:numFmt w:val="lowerRoman"/>
      <w:lvlText w:val="%9."/>
      <w:lvlJc w:val="right"/>
      <w:pPr>
        <w:ind w:left="6013" w:hanging="180"/>
      </w:pPr>
    </w:lvl>
  </w:abstractNum>
  <w:abstractNum w:abstractNumId="7" w15:restartNumberingAfterBreak="0">
    <w:nsid w:val="77FF5131"/>
    <w:multiLevelType w:val="hybridMultilevel"/>
    <w:tmpl w:val="10AAB0BE"/>
    <w:lvl w:ilvl="0" w:tplc="9E72118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05"/>
    <w:rsid w:val="00084005"/>
    <w:rsid w:val="00114005"/>
    <w:rsid w:val="001167EC"/>
    <w:rsid w:val="001329A2"/>
    <w:rsid w:val="00193137"/>
    <w:rsid w:val="003160F7"/>
    <w:rsid w:val="00370786"/>
    <w:rsid w:val="004A55D3"/>
    <w:rsid w:val="00597218"/>
    <w:rsid w:val="005A23E1"/>
    <w:rsid w:val="00606691"/>
    <w:rsid w:val="0078128B"/>
    <w:rsid w:val="00796F87"/>
    <w:rsid w:val="0082018E"/>
    <w:rsid w:val="008334A7"/>
    <w:rsid w:val="008C1E34"/>
    <w:rsid w:val="009156B4"/>
    <w:rsid w:val="00927DF4"/>
    <w:rsid w:val="009361DA"/>
    <w:rsid w:val="00A45044"/>
    <w:rsid w:val="00A874A1"/>
    <w:rsid w:val="00AD7C0C"/>
    <w:rsid w:val="00AF6F7C"/>
    <w:rsid w:val="00C2103B"/>
    <w:rsid w:val="00D07849"/>
    <w:rsid w:val="00D137ED"/>
    <w:rsid w:val="00E95367"/>
    <w:rsid w:val="00EA12D3"/>
    <w:rsid w:val="00EC3FF0"/>
    <w:rsid w:val="00F73473"/>
    <w:rsid w:val="00F74715"/>
    <w:rsid w:val="00F86FE6"/>
    <w:rsid w:val="00F97E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C08B456"/>
  <w15:chartTrackingRefBased/>
  <w15:docId w15:val="{FE9B7BC2-B15E-6B47-A155-0AC7BC7C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4005"/>
    <w:rPr>
      <w:rFonts w:eastAsiaTheme="minorEastAsia"/>
      <w:sz w:val="20"/>
      <w:szCs w:val="20"/>
    </w:rPr>
  </w:style>
  <w:style w:type="paragraph" w:styleId="Kop2">
    <w:name w:val="heading 2"/>
    <w:basedOn w:val="Standaard"/>
    <w:next w:val="Standaard"/>
    <w:link w:val="Kop2Char"/>
    <w:uiPriority w:val="9"/>
    <w:unhideWhenUsed/>
    <w:qFormat/>
    <w:rsid w:val="00114005"/>
    <w:pPr>
      <w:keepNext/>
      <w:keepLines/>
      <w:outlineLvl w:val="1"/>
    </w:pPr>
    <w:rPr>
      <w:rFonts w:eastAsiaTheme="majorEastAsia" w:cs="Times New Roman (Koppen CS)"/>
      <w:b/>
      <w:color w:val="2F5496" w:themeColor="accent1" w:themeShade="BF"/>
      <w:sz w:val="24"/>
      <w:szCs w:val="26"/>
    </w:rPr>
  </w:style>
  <w:style w:type="paragraph" w:styleId="Kop3">
    <w:name w:val="heading 3"/>
    <w:basedOn w:val="Standaard"/>
    <w:next w:val="Standaard"/>
    <w:link w:val="Kop3Char"/>
    <w:uiPriority w:val="9"/>
    <w:unhideWhenUsed/>
    <w:qFormat/>
    <w:rsid w:val="00C2103B"/>
    <w:pPr>
      <w:keepNext/>
      <w:keepLines/>
      <w:spacing w:before="40"/>
      <w:outlineLvl w:val="2"/>
    </w:pPr>
    <w:rPr>
      <w:rFonts w:eastAsiaTheme="majorEastAsia" w:cstheme="majorBidi"/>
      <w: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14005"/>
    <w:rPr>
      <w:rFonts w:eastAsiaTheme="majorEastAsia" w:cs="Times New Roman (Koppen CS)"/>
      <w:b/>
      <w:color w:val="2F5496" w:themeColor="accent1" w:themeShade="BF"/>
      <w:szCs w:val="26"/>
    </w:rPr>
  </w:style>
  <w:style w:type="character" w:customStyle="1" w:styleId="Kop3Char">
    <w:name w:val="Kop 3 Char"/>
    <w:basedOn w:val="Standaardalinea-lettertype"/>
    <w:link w:val="Kop3"/>
    <w:uiPriority w:val="9"/>
    <w:rsid w:val="00C2103B"/>
    <w:rPr>
      <w:rFonts w:eastAsiaTheme="majorEastAsia" w:cstheme="majorBidi"/>
      <w:i/>
      <w:color w:val="1F3763" w:themeColor="accent1" w:themeShade="7F"/>
    </w:rPr>
  </w:style>
  <w:style w:type="character" w:styleId="Voetnootmarkering">
    <w:name w:val="footnote reference"/>
    <w:basedOn w:val="Standaardalinea-lettertype"/>
    <w:rsid w:val="00114005"/>
    <w:rPr>
      <w:rFonts w:cs="Times New Roman"/>
      <w:vertAlign w:val="superscript"/>
    </w:rPr>
  </w:style>
  <w:style w:type="paragraph" w:styleId="Voetnoottekst">
    <w:name w:val="footnote text"/>
    <w:aliases w:val="Char,Podrozdział,Tekst przypisu Znak Znak Znak Znak,Tekst przypisu Znak Znak Znak Znak Znak,Tekst przypisu Znak Znak Znak Znak Znak Znak Znak,Tekst przypisu Znak Znak Znak Znak Znak Znak Znak Znak Zn,Schriftart: 9 pt"/>
    <w:basedOn w:val="Standaard"/>
    <w:link w:val="VoetnoottekstChar"/>
    <w:rsid w:val="00114005"/>
    <w:pPr>
      <w:spacing w:line="280" w:lineRule="atLeast"/>
    </w:pPr>
    <w:rPr>
      <w:rFonts w:ascii="Times New Roman" w:eastAsia="Times New Roman" w:hAnsi="Times New Roman" w:cs="Times New Roman"/>
      <w:lang w:eastAsia="nl-NL"/>
    </w:rPr>
  </w:style>
  <w:style w:type="character" w:customStyle="1" w:styleId="VoetnoottekstChar">
    <w:name w:val="Voetnoottekst Char"/>
    <w:aliases w:val="Char Char,Podrozdział Char,Tekst przypisu Znak Znak Znak Znak Char,Tekst przypisu Znak Znak Znak Znak Znak Char,Tekst przypisu Znak Znak Znak Znak Znak Znak Znak Char,Tekst przypisu Znak Znak Znak Znak Znak Znak Znak Znak Zn Char"/>
    <w:basedOn w:val="Standaardalinea-lettertype"/>
    <w:link w:val="Voetnoottekst"/>
    <w:rsid w:val="00114005"/>
    <w:rPr>
      <w:rFonts w:ascii="Times New Roman" w:eastAsia="Times New Roman" w:hAnsi="Times New Roman" w:cs="Times New Roman"/>
      <w:sz w:val="20"/>
      <w:szCs w:val="20"/>
      <w:lang w:eastAsia="nl-NL"/>
    </w:rPr>
  </w:style>
  <w:style w:type="paragraph" w:customStyle="1" w:styleId="BTBullet1">
    <w:name w:val="BTBullet1"/>
    <w:basedOn w:val="Standaard"/>
    <w:uiPriority w:val="6"/>
    <w:qFormat/>
    <w:rsid w:val="00114005"/>
    <w:pPr>
      <w:numPr>
        <w:numId w:val="1"/>
      </w:numPr>
      <w:spacing w:line="240" w:lineRule="atLeast"/>
    </w:pPr>
    <w:rPr>
      <w:rFonts w:ascii="Arial" w:eastAsiaTheme="minorHAnsi" w:hAnsi="Arial" w:cs="Times New Roman"/>
      <w:sz w:val="22"/>
      <w:szCs w:val="24"/>
      <w:lang w:val="en-GB"/>
    </w:rPr>
  </w:style>
  <w:style w:type="paragraph" w:customStyle="1" w:styleId="BTBullet2">
    <w:name w:val="BTBullet2"/>
    <w:basedOn w:val="Standaard"/>
    <w:uiPriority w:val="6"/>
    <w:qFormat/>
    <w:rsid w:val="00114005"/>
    <w:pPr>
      <w:numPr>
        <w:ilvl w:val="1"/>
        <w:numId w:val="1"/>
      </w:numPr>
      <w:spacing w:line="240" w:lineRule="atLeast"/>
    </w:pPr>
    <w:rPr>
      <w:rFonts w:ascii="Arial" w:eastAsiaTheme="minorHAnsi" w:hAnsi="Arial" w:cs="Times New Roman"/>
      <w:sz w:val="22"/>
      <w:szCs w:val="24"/>
      <w:lang w:val="en-GB"/>
    </w:rPr>
  </w:style>
  <w:style w:type="paragraph" w:customStyle="1" w:styleId="BTBullet3">
    <w:name w:val="BTBullet3"/>
    <w:basedOn w:val="Standaard"/>
    <w:uiPriority w:val="6"/>
    <w:qFormat/>
    <w:rsid w:val="00114005"/>
    <w:pPr>
      <w:numPr>
        <w:ilvl w:val="2"/>
        <w:numId w:val="1"/>
      </w:numPr>
      <w:spacing w:line="240" w:lineRule="atLeast"/>
    </w:pPr>
    <w:rPr>
      <w:rFonts w:ascii="Arial" w:eastAsiaTheme="minorHAnsi" w:hAnsi="Arial" w:cs="Times New Roman"/>
      <w:sz w:val="22"/>
      <w:szCs w:val="24"/>
      <w:lang w:val="en-GB"/>
    </w:rPr>
  </w:style>
  <w:style w:type="numbering" w:customStyle="1" w:styleId="NumbLstBTBullet">
    <w:name w:val="NumbLstBTBullet"/>
    <w:aliases w:val="Bullets"/>
    <w:uiPriority w:val="99"/>
    <w:rsid w:val="00114005"/>
    <w:pPr>
      <w:numPr>
        <w:numId w:val="1"/>
      </w:numPr>
    </w:pPr>
  </w:style>
  <w:style w:type="character" w:styleId="Hyperlink">
    <w:name w:val="Hyperlink"/>
    <w:basedOn w:val="Standaardalinea-lettertype"/>
    <w:uiPriority w:val="99"/>
    <w:unhideWhenUsed/>
    <w:qFormat/>
    <w:rsid w:val="00114005"/>
    <w:rPr>
      <w:color w:val="0563C1" w:themeColor="hyperlink"/>
      <w:u w:val="single"/>
    </w:rPr>
  </w:style>
  <w:style w:type="paragraph" w:styleId="Voettekst">
    <w:name w:val="footer"/>
    <w:basedOn w:val="Standaard"/>
    <w:link w:val="VoettekstChar"/>
    <w:uiPriority w:val="99"/>
    <w:unhideWhenUsed/>
    <w:rsid w:val="00C2103B"/>
    <w:pPr>
      <w:tabs>
        <w:tab w:val="center" w:pos="4536"/>
        <w:tab w:val="right" w:pos="9072"/>
      </w:tabs>
    </w:pPr>
  </w:style>
  <w:style w:type="character" w:customStyle="1" w:styleId="VoettekstChar">
    <w:name w:val="Voettekst Char"/>
    <w:basedOn w:val="Standaardalinea-lettertype"/>
    <w:link w:val="Voettekst"/>
    <w:uiPriority w:val="99"/>
    <w:rsid w:val="00C2103B"/>
    <w:rPr>
      <w:rFonts w:eastAsiaTheme="minorEastAsia"/>
      <w:sz w:val="20"/>
      <w:szCs w:val="20"/>
    </w:rPr>
  </w:style>
  <w:style w:type="character" w:styleId="Paginanummer">
    <w:name w:val="page number"/>
    <w:basedOn w:val="Standaardalinea-lettertype"/>
    <w:uiPriority w:val="99"/>
    <w:semiHidden/>
    <w:unhideWhenUsed/>
    <w:rsid w:val="00C2103B"/>
  </w:style>
  <w:style w:type="paragraph" w:styleId="Koptekst">
    <w:name w:val="header"/>
    <w:basedOn w:val="Standaard"/>
    <w:link w:val="KoptekstChar"/>
    <w:uiPriority w:val="99"/>
    <w:unhideWhenUsed/>
    <w:rsid w:val="00C2103B"/>
    <w:pPr>
      <w:tabs>
        <w:tab w:val="center" w:pos="4536"/>
        <w:tab w:val="right" w:pos="9072"/>
      </w:tabs>
    </w:pPr>
  </w:style>
  <w:style w:type="character" w:customStyle="1" w:styleId="KoptekstChar">
    <w:name w:val="Koptekst Char"/>
    <w:basedOn w:val="Standaardalinea-lettertype"/>
    <w:link w:val="Koptekst"/>
    <w:uiPriority w:val="99"/>
    <w:rsid w:val="00C2103B"/>
    <w:rPr>
      <w:rFonts w:eastAsiaTheme="minorEastAsia"/>
      <w:sz w:val="20"/>
      <w:szCs w:val="20"/>
    </w:rPr>
  </w:style>
  <w:style w:type="paragraph" w:styleId="Lijstalinea">
    <w:name w:val="List Paragraph"/>
    <w:basedOn w:val="Standaard"/>
    <w:uiPriority w:val="34"/>
    <w:qFormat/>
    <w:rsid w:val="00C2103B"/>
    <w:pPr>
      <w:ind w:left="720"/>
      <w:contextualSpacing/>
    </w:pPr>
    <w:rPr>
      <w:rFonts w:ascii="Arial" w:eastAsia="Times New Roman" w:hAnsi="Arial" w:cs="Arial"/>
      <w:szCs w:val="24"/>
      <w:lang w:eastAsia="nl-NL"/>
    </w:rPr>
  </w:style>
  <w:style w:type="paragraph" w:customStyle="1" w:styleId="m-1889584391201206170gmail-btbullet2">
    <w:name w:val="m_-1889584391201206170gmail-btbullet2"/>
    <w:basedOn w:val="Standaard"/>
    <w:rsid w:val="00C2103B"/>
    <w:pPr>
      <w:spacing w:before="100" w:beforeAutospacing="1" w:after="100" w:afterAutospacing="1"/>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78128B"/>
    <w:rPr>
      <w:color w:val="954F72" w:themeColor="followedHyperlink"/>
      <w:u w:val="single"/>
    </w:rPr>
  </w:style>
  <w:style w:type="character" w:styleId="Onopgelostemelding">
    <w:name w:val="Unresolved Mention"/>
    <w:basedOn w:val="Standaardalinea-lettertype"/>
    <w:uiPriority w:val="99"/>
    <w:semiHidden/>
    <w:unhideWhenUsed/>
    <w:rsid w:val="0078128B"/>
    <w:rPr>
      <w:color w:val="605E5C"/>
      <w:shd w:val="clear" w:color="auto" w:fill="E1DFDD"/>
    </w:rPr>
  </w:style>
  <w:style w:type="table" w:styleId="Tabelraster">
    <w:name w:val="Table Grid"/>
    <w:basedOn w:val="Standaardtabel"/>
    <w:uiPriority w:val="59"/>
    <w:rsid w:val="008C1E34"/>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Standaard"/>
    <w:rsid w:val="00AF6F7C"/>
    <w:rPr>
      <w:rFonts w:ascii="Helvetica" w:eastAsiaTheme="minorHAnsi" w:hAnsi="Helvetica" w:cs="Times New Roman"/>
      <w:sz w:val="15"/>
      <w:szCs w:val="15"/>
      <w:lang w:eastAsia="nl-NL"/>
    </w:rPr>
  </w:style>
  <w:style w:type="paragraph" w:customStyle="1" w:styleId="TableText">
    <w:name w:val="TableText"/>
    <w:basedOn w:val="Standaard"/>
    <w:uiPriority w:val="15"/>
    <w:qFormat/>
    <w:rsid w:val="00A874A1"/>
    <w:pPr>
      <w:spacing w:after="120" w:line="220" w:lineRule="atLeast"/>
      <w:ind w:left="57" w:right="57"/>
    </w:pPr>
    <w:rPr>
      <w:rFonts w:ascii="Arial" w:eastAsiaTheme="minorHAnsi" w:hAnsi="Arial" w:cs="Times New Roman"/>
      <w:szCs w:val="24"/>
      <w:lang w:val="en-GB"/>
    </w:rPr>
  </w:style>
  <w:style w:type="paragraph" w:customStyle="1" w:styleId="OpsommingNummer">
    <w:name w:val="Opsomming Nummer"/>
    <w:basedOn w:val="Standaard"/>
    <w:rsid w:val="00A874A1"/>
    <w:pPr>
      <w:widowControl w:val="0"/>
      <w:spacing w:line="280" w:lineRule="auto"/>
      <w:ind w:left="284" w:hanging="284"/>
    </w:pPr>
    <w:rPr>
      <w:rFonts w:ascii="Times New Roman" w:eastAsia="Times New Roman" w:hAnsi="Times New Roman" w:cs="Times New Roman"/>
      <w:sz w:val="22"/>
      <w:lang w:eastAsia="nl-NL"/>
    </w:rPr>
  </w:style>
  <w:style w:type="paragraph" w:customStyle="1" w:styleId="Aufzhlung">
    <w:name w:val="Aufzählung"/>
    <w:basedOn w:val="Standaard"/>
    <w:link w:val="AufzhlungZchn"/>
    <w:rsid w:val="00A874A1"/>
    <w:pPr>
      <w:numPr>
        <w:numId w:val="8"/>
      </w:numPr>
      <w:tabs>
        <w:tab w:val="left" w:pos="312"/>
      </w:tabs>
      <w:spacing w:line="280" w:lineRule="atLeast"/>
    </w:pPr>
    <w:rPr>
      <w:rFonts w:ascii="FoundryOldStyleNormal" w:eastAsia="Times New Roman" w:hAnsi="FoundryOldStyleNormal" w:cs="Times New Roman"/>
      <w:sz w:val="23"/>
      <w:szCs w:val="24"/>
      <w:lang w:val="de-AT" w:eastAsia="de-AT"/>
    </w:rPr>
  </w:style>
  <w:style w:type="character" w:customStyle="1" w:styleId="AufzhlungZchn">
    <w:name w:val="Aufzählung Zchn"/>
    <w:link w:val="Aufzhlung"/>
    <w:locked/>
    <w:rsid w:val="00A874A1"/>
    <w:rPr>
      <w:rFonts w:ascii="FoundryOldStyleNormal" w:eastAsia="Times New Roman" w:hAnsi="FoundryOldStyleNormal" w:cs="Times New Roman"/>
      <w:sz w:val="23"/>
      <w:lang w:val="de-AT" w:eastAsia="de-AT"/>
    </w:rPr>
  </w:style>
  <w:style w:type="paragraph" w:styleId="Plattetekst">
    <w:name w:val="Body Text"/>
    <w:aliases w:val="F2 Body Text,Document,Doc,Body Text2,doc,Standard paragraph,Text,BodyText, (Norm),Body Text 12,bt,gl,uvlaka 2,(Norm),heading3,Body Text - Level 2,Corps de texte,1body,BodText,body text,Body Txt,Body Text-10,Τίτλος Μελέτης,- TF,b.,Text Char1"/>
    <w:basedOn w:val="Standaard"/>
    <w:link w:val="PlattetekstChar"/>
    <w:uiPriority w:val="99"/>
    <w:unhideWhenUsed/>
    <w:qFormat/>
    <w:rsid w:val="00A874A1"/>
    <w:pPr>
      <w:spacing w:after="120"/>
    </w:pPr>
    <w:rPr>
      <w:rFonts w:eastAsiaTheme="minorHAnsi"/>
    </w:rPr>
  </w:style>
  <w:style w:type="character" w:customStyle="1" w:styleId="PlattetekstChar">
    <w:name w:val="Platte tekst Char"/>
    <w:aliases w:val="F2 Body Text Char,Document Char,Doc Char,Body Text2 Char,doc Char,Standard paragraph Char,Text Char,BodyText Char, (Norm) Char,Body Text 12 Char,bt Char,gl Char,uvlaka 2 Char,(Norm) Char,heading3 Char,Body Text - Level 2 Char,- TF Char"/>
    <w:basedOn w:val="Standaardalinea-lettertype"/>
    <w:link w:val="Plattetekst"/>
    <w:uiPriority w:val="99"/>
    <w:rsid w:val="00A874A1"/>
    <w:rPr>
      <w:sz w:val="20"/>
      <w:szCs w:val="20"/>
    </w:rPr>
  </w:style>
  <w:style w:type="character" w:customStyle="1" w:styleId="reference-text">
    <w:name w:val="reference-text"/>
    <w:basedOn w:val="Standaardalinea-lettertype"/>
    <w:rsid w:val="00A87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vpl.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vpl.nl" TargetMode="External"/><Relationship Id="rId1" Type="http://schemas.openxmlformats.org/officeDocument/2006/relationships/hyperlink" Target="http://vince.eucen.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7</Pages>
  <Words>4615</Words>
  <Characters>25383</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14</cp:revision>
  <dcterms:created xsi:type="dcterms:W3CDTF">2019-07-26T13:12:00Z</dcterms:created>
  <dcterms:modified xsi:type="dcterms:W3CDTF">2019-07-29T08:33:00Z</dcterms:modified>
</cp:coreProperties>
</file>